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ind w:left="0" w:right="162"/>
        <w:jc w:val="center"/>
      </w:pPr>
      <w:r>
        <w:rPr/>
        <w:t>ANKARA</w:t>
      </w:r>
      <w:r>
        <w:rPr>
          <w:spacing w:val="6"/>
        </w:rPr>
        <w:t> </w:t>
      </w:r>
      <w:r>
        <w:rPr/>
        <w:t>NÖBETÇİ</w:t>
      </w:r>
      <w:r>
        <w:rPr>
          <w:spacing w:val="-8"/>
        </w:rPr>
        <w:t> </w:t>
      </w:r>
      <w:r>
        <w:rPr/>
        <w:t>İŞ</w:t>
      </w:r>
      <w:r>
        <w:rPr>
          <w:spacing w:val="-7"/>
        </w:rPr>
        <w:t> </w:t>
      </w:r>
      <w:r>
        <w:rPr>
          <w:spacing w:val="-2"/>
        </w:rPr>
        <w:t>MAHKEMESİNE</w:t>
      </w:r>
    </w:p>
    <w:p>
      <w:pPr>
        <w:pStyle w:val="BodyText"/>
        <w:rPr>
          <w:b/>
        </w:rPr>
      </w:pPr>
    </w:p>
    <w:p>
      <w:pPr>
        <w:pStyle w:val="BodyText"/>
        <w:spacing w:before="12"/>
        <w:rPr>
          <w:b/>
        </w:rPr>
      </w:pPr>
    </w:p>
    <w:p>
      <w:pPr>
        <w:tabs>
          <w:tab w:pos="2386" w:val="left" w:leader="none"/>
        </w:tabs>
        <w:spacing w:before="0" w:after="18"/>
        <w:ind w:left="7" w:right="0" w:firstLine="0"/>
        <w:jc w:val="left"/>
        <w:rPr>
          <w:b/>
          <w:sz w:val="24"/>
        </w:rPr>
      </w:pPr>
      <w:r>
        <w:rPr>
          <w:b/>
          <w:spacing w:val="-2"/>
          <w:sz w:val="24"/>
        </w:rPr>
        <w:t>DAVACI</w:t>
      </w:r>
      <w:r>
        <w:rPr>
          <w:b/>
          <w:sz w:val="24"/>
        </w:rPr>
        <w:tab/>
      </w:r>
      <w:r>
        <w:rPr>
          <w:b/>
          <w:spacing w:val="-10"/>
          <w:sz w:val="24"/>
        </w:rPr>
        <w:t>:</w:t>
      </w:r>
    </w:p>
    <w:p>
      <w:pPr>
        <w:pStyle w:val="BodyText"/>
        <w:spacing w:line="20" w:lineRule="exact"/>
        <w:ind w:left="-3"/>
        <w:rPr>
          <w:sz w:val="2"/>
        </w:rPr>
      </w:pPr>
      <w:r>
        <w:rPr>
          <w:sz w:val="2"/>
        </w:rPr>
        <mc:AlternateContent>
          <mc:Choice Requires="wps">
            <w:drawing>
              <wp:inline distT="0" distB="0" distL="0" distR="0">
                <wp:extent cx="1606550" cy="12700"/>
                <wp:effectExtent l="9525" t="0" r="0" b="6350"/>
                <wp:docPr id="1" name="Group 1"/>
                <wp:cNvGraphicFramePr>
                  <a:graphicFrameLocks/>
                </wp:cNvGraphicFramePr>
                <a:graphic>
                  <a:graphicData uri="http://schemas.microsoft.com/office/word/2010/wordprocessingGroup">
                    <wpg:wgp>
                      <wpg:cNvPr id="1" name="Group 1"/>
                      <wpg:cNvGrpSpPr/>
                      <wpg:grpSpPr>
                        <a:xfrm>
                          <a:off x="0" y="0"/>
                          <a:ext cx="1606550" cy="12700"/>
                          <a:chExt cx="1606550" cy="12700"/>
                        </a:xfrm>
                      </wpg:grpSpPr>
                      <wps:wsp>
                        <wps:cNvPr id="2" name="Graphic 2"/>
                        <wps:cNvSpPr/>
                        <wps:spPr>
                          <a:xfrm>
                            <a:off x="0" y="6350"/>
                            <a:ext cx="1600200" cy="1270"/>
                          </a:xfrm>
                          <a:custGeom>
                            <a:avLst/>
                            <a:gdLst/>
                            <a:ahLst/>
                            <a:cxnLst/>
                            <a:rect l="l" t="t" r="r" b="b"/>
                            <a:pathLst>
                              <a:path w="1600200" h="0">
                                <a:moveTo>
                                  <a:pt x="0" y="0"/>
                                </a:moveTo>
                                <a:lnTo>
                                  <a:pt x="609600" y="0"/>
                                </a:lnTo>
                              </a:path>
                              <a:path w="1600200" h="0">
                                <a:moveTo>
                                  <a:pt x="609600" y="0"/>
                                </a:moveTo>
                                <a:lnTo>
                                  <a:pt x="1511300" y="0"/>
                                </a:lnTo>
                              </a:path>
                              <a:path w="1600200" h="0">
                                <a:moveTo>
                                  <a:pt x="1511300" y="0"/>
                                </a:moveTo>
                                <a:lnTo>
                                  <a:pt x="1549400" y="0"/>
                                </a:lnTo>
                              </a:path>
                              <a:path w="1600200" h="0">
                                <a:moveTo>
                                  <a:pt x="1562100" y="0"/>
                                </a:moveTo>
                                <a:lnTo>
                                  <a:pt x="1600200" y="0"/>
                                </a:lnTo>
                              </a:path>
                            </a:pathLst>
                          </a:custGeom>
                          <a:ln w="12700">
                            <a:solidFill>
                              <a:srgbClr val="000000"/>
                            </a:solidFill>
                            <a:prstDash val="solid"/>
                          </a:ln>
                        </wps:spPr>
                        <wps:bodyPr wrap="square" lIns="0" tIns="0" rIns="0" bIns="0" rtlCol="0">
                          <a:prstTxWarp prst="textNoShape">
                            <a:avLst/>
                          </a:prstTxWarp>
                          <a:noAutofit/>
                        </wps:bodyPr>
                      </wps:wsp>
                      <wps:wsp>
                        <wps:cNvPr id="3" name="Graphic 3"/>
                        <wps:cNvSpPr/>
                        <wps:spPr>
                          <a:xfrm>
                            <a:off x="15938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26.5pt;height:1pt;mso-position-horizontal-relative:char;mso-position-vertical-relative:line" id="docshapegroup1" coordorigin="0,0" coordsize="2530,20">
                <v:shape style="position:absolute;left:0;top:10;width:2520;height:2" id="docshape2" coordorigin="0,10" coordsize="2520,0" path="m0,10l960,10m960,10l2380,10m2380,10l2440,10m2460,10l2520,10e" filled="false" stroked="true" strokeweight="1pt" strokecolor="#000000">
                  <v:path arrowok="t"/>
                  <v:stroke dashstyle="solid"/>
                </v:shape>
                <v:shape style="position:absolute;left:2510;top:0;width:20;height:20" id="docshape3" coordorigin="2510,0" coordsize="20,20" path="m2510,10l2513,3,2520,0,2527,3,2530,10,2527,17,2520,20,2513,17,2510,10xe" filled="true" fillcolor="#000000" stroked="false">
                  <v:path arrowok="t"/>
                  <v:fill type="solid"/>
                </v:shape>
              </v:group>
            </w:pict>
          </mc:Fallback>
        </mc:AlternateContent>
      </w:r>
      <w:r>
        <w:rPr>
          <w:sz w:val="2"/>
        </w:rPr>
      </w:r>
    </w:p>
    <w:p>
      <w:pPr>
        <w:tabs>
          <w:tab w:pos="2386" w:val="left" w:leader="none"/>
        </w:tabs>
        <w:spacing w:before="0"/>
        <w:ind w:left="7" w:right="0" w:firstLine="0"/>
        <w:jc w:val="left"/>
        <w:rPr>
          <w:sz w:val="24"/>
        </w:rPr>
      </w:pPr>
      <w:r>
        <w:rPr>
          <w:b/>
          <w:spacing w:val="-2"/>
          <w:sz w:val="24"/>
        </w:rPr>
        <w:t>VEKİLİ</w:t>
      </w:r>
      <w:r>
        <w:rPr>
          <w:b/>
          <w:sz w:val="24"/>
        </w:rPr>
        <w:tab/>
        <w:t>:</w:t>
      </w:r>
      <w:r>
        <w:rPr>
          <w:b/>
          <w:spacing w:val="58"/>
          <w:sz w:val="24"/>
        </w:rPr>
        <w:t> </w:t>
      </w:r>
      <w:r>
        <w:rPr>
          <w:sz w:val="24"/>
        </w:rPr>
        <w:t>Av.</w:t>
      </w:r>
      <w:r>
        <w:rPr>
          <w:spacing w:val="6"/>
          <w:sz w:val="24"/>
        </w:rPr>
        <w:t> </w:t>
      </w:r>
      <w:r>
        <w:rPr>
          <w:sz w:val="24"/>
        </w:rPr>
        <w:t>Tülay</w:t>
      </w:r>
      <w:r>
        <w:rPr>
          <w:spacing w:val="-1"/>
          <w:sz w:val="24"/>
        </w:rPr>
        <w:t> </w:t>
      </w:r>
      <w:r>
        <w:rPr>
          <w:sz w:val="24"/>
        </w:rPr>
        <w:t>Hazal</w:t>
      </w:r>
      <w:r>
        <w:rPr>
          <w:spacing w:val="-1"/>
          <w:sz w:val="24"/>
        </w:rPr>
        <w:t> </w:t>
      </w:r>
      <w:r>
        <w:rPr>
          <w:spacing w:val="-4"/>
          <w:sz w:val="24"/>
        </w:rPr>
        <w:t>ÖZER</w:t>
      </w:r>
    </w:p>
    <w:p>
      <w:pPr>
        <w:spacing w:before="0"/>
        <w:ind w:left="2427" w:right="0" w:firstLine="0"/>
        <w:jc w:val="left"/>
        <w:rPr>
          <w:i/>
          <w:sz w:val="24"/>
        </w:rPr>
      </w:pPr>
      <w:r>
        <w:rPr>
          <w:i/>
          <w:sz w:val="24"/>
        </w:rPr>
        <mc:AlternateContent>
          <mc:Choice Requires="wps">
            <w:drawing>
              <wp:anchor distT="0" distB="0" distL="0" distR="0" allowOverlap="1" layoutInCell="1" locked="0" behindDoc="0" simplePos="0" relativeHeight="15730688">
                <wp:simplePos x="0" y="0"/>
                <wp:positionH relativeFrom="page">
                  <wp:posOffset>723900</wp:posOffset>
                </wp:positionH>
                <wp:positionV relativeFrom="paragraph">
                  <wp:posOffset>-3795</wp:posOffset>
                </wp:positionV>
                <wp:extent cx="160020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600200" cy="1270"/>
                        </a:xfrm>
                        <a:custGeom>
                          <a:avLst/>
                          <a:gdLst/>
                          <a:ahLst/>
                          <a:cxnLst/>
                          <a:rect l="l" t="t" r="r" b="b"/>
                          <a:pathLst>
                            <a:path w="1600200" h="0">
                              <a:moveTo>
                                <a:pt x="0" y="0"/>
                              </a:moveTo>
                              <a:lnTo>
                                <a:pt x="546100" y="0"/>
                              </a:lnTo>
                            </a:path>
                            <a:path w="1600200" h="0">
                              <a:moveTo>
                                <a:pt x="546100" y="0"/>
                              </a:moveTo>
                              <a:lnTo>
                                <a:pt x="1511300" y="0"/>
                              </a:lnTo>
                            </a:path>
                            <a:path w="1600200" h="0">
                              <a:moveTo>
                                <a:pt x="1511300" y="0"/>
                              </a:moveTo>
                              <a:lnTo>
                                <a:pt x="1549400" y="0"/>
                              </a:lnTo>
                            </a:path>
                            <a:path w="1600200" h="0">
                              <a:moveTo>
                                <a:pt x="1562100" y="0"/>
                              </a:moveTo>
                              <a:lnTo>
                                <a:pt x="1600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pt;margin-top:-.298828pt;width:126pt;height:.1pt;mso-position-horizontal-relative:page;mso-position-vertical-relative:paragraph;z-index:15730688" id="docshape4" coordorigin="1140,-6" coordsize="2520,0" path="m1140,-6l2000,-6m2000,-6l3520,-6m3520,-6l3580,-6m3600,-6l3660,-6e" filled="false" stroked="true" strokeweight="1pt" strokecolor="#000000">
                <v:path arrowok="t"/>
                <v:stroke dashstyle="solid"/>
                <w10:wrap type="none"/>
              </v:shape>
            </w:pict>
          </mc:Fallback>
        </mc:AlternateContent>
      </w:r>
      <w:r>
        <w:rPr>
          <w:i/>
          <w:sz w:val="24"/>
        </w:rPr>
        <w:t>Kavaklıdere</w:t>
      </w:r>
      <w:r>
        <w:rPr>
          <w:i/>
          <w:spacing w:val="5"/>
          <w:sz w:val="24"/>
        </w:rPr>
        <w:t> </w:t>
      </w:r>
      <w:r>
        <w:rPr>
          <w:i/>
          <w:sz w:val="24"/>
        </w:rPr>
        <w:t>Mah. Büklüm</w:t>
      </w:r>
      <w:r>
        <w:rPr>
          <w:i/>
          <w:spacing w:val="-14"/>
          <w:sz w:val="24"/>
        </w:rPr>
        <w:t> </w:t>
      </w:r>
      <w:r>
        <w:rPr>
          <w:i/>
          <w:sz w:val="24"/>
        </w:rPr>
        <w:t>Cad.</w:t>
      </w:r>
      <w:r>
        <w:rPr>
          <w:i/>
          <w:spacing w:val="-1"/>
          <w:sz w:val="24"/>
        </w:rPr>
        <w:t> </w:t>
      </w:r>
      <w:r>
        <w:rPr>
          <w:i/>
          <w:sz w:val="24"/>
        </w:rPr>
        <w:t>No:9/11</w:t>
      </w:r>
      <w:r>
        <w:rPr>
          <w:i/>
          <w:spacing w:val="12"/>
          <w:sz w:val="24"/>
        </w:rPr>
        <w:t> </w:t>
      </w:r>
      <w:r>
        <w:rPr>
          <w:i/>
          <w:spacing w:val="-2"/>
          <w:sz w:val="24"/>
        </w:rPr>
        <w:t>Çankaya/ANKARA</w:t>
      </w:r>
    </w:p>
    <w:p>
      <w:pPr>
        <w:tabs>
          <w:tab w:pos="2386" w:val="left" w:leader="none"/>
        </w:tabs>
        <w:spacing w:before="0"/>
        <w:ind w:left="7" w:right="0" w:firstLine="0"/>
        <w:jc w:val="left"/>
        <w:rPr>
          <w:sz w:val="24"/>
        </w:rPr>
      </w:pPr>
      <w:r>
        <w:rPr>
          <w:b/>
          <w:spacing w:val="-2"/>
          <w:sz w:val="24"/>
        </w:rPr>
        <w:t>DAVALI</w:t>
      </w:r>
      <w:r>
        <w:rPr>
          <w:b/>
          <w:sz w:val="24"/>
        </w:rPr>
        <w:tab/>
        <w:t>:</w:t>
      </w:r>
      <w:r>
        <w:rPr>
          <w:b/>
          <w:spacing w:val="-2"/>
          <w:sz w:val="24"/>
        </w:rPr>
        <w:t> </w:t>
      </w:r>
      <w:r>
        <w:rPr>
          <w:sz w:val="24"/>
        </w:rPr>
        <w:t>Sosyal</w:t>
      </w:r>
      <w:r>
        <w:rPr>
          <w:spacing w:val="-1"/>
          <w:sz w:val="24"/>
        </w:rPr>
        <w:t> </w:t>
      </w:r>
      <w:r>
        <w:rPr>
          <w:sz w:val="24"/>
        </w:rPr>
        <w:t>Güvenlik</w:t>
      </w:r>
      <w:r>
        <w:rPr>
          <w:spacing w:val="6"/>
          <w:sz w:val="24"/>
        </w:rPr>
        <w:t> </w:t>
      </w:r>
      <w:r>
        <w:rPr>
          <w:spacing w:val="-2"/>
          <w:sz w:val="24"/>
        </w:rPr>
        <w:t>Kurumu</w:t>
      </w:r>
    </w:p>
    <w:p>
      <w:pPr>
        <w:pStyle w:val="BodyText"/>
        <w:spacing w:line="20" w:lineRule="exact"/>
        <w:ind w:left="-3"/>
        <w:rPr>
          <w:sz w:val="2"/>
        </w:rPr>
      </w:pPr>
      <w:r>
        <w:rPr>
          <w:sz w:val="2"/>
        </w:rPr>
        <mc:AlternateContent>
          <mc:Choice Requires="wps">
            <w:drawing>
              <wp:inline distT="0" distB="0" distL="0" distR="0">
                <wp:extent cx="1600200" cy="12700"/>
                <wp:effectExtent l="9525" t="0" r="0" b="6350"/>
                <wp:docPr id="5" name="Group 5"/>
                <wp:cNvGraphicFramePr>
                  <a:graphicFrameLocks/>
                </wp:cNvGraphicFramePr>
                <a:graphic>
                  <a:graphicData uri="http://schemas.microsoft.com/office/word/2010/wordprocessingGroup">
                    <wpg:wgp>
                      <wpg:cNvPr id="5" name="Group 5"/>
                      <wpg:cNvGrpSpPr/>
                      <wpg:grpSpPr>
                        <a:xfrm>
                          <a:off x="0" y="0"/>
                          <a:ext cx="1600200" cy="12700"/>
                          <a:chExt cx="1600200" cy="12700"/>
                        </a:xfrm>
                      </wpg:grpSpPr>
                      <wps:wsp>
                        <wps:cNvPr id="6" name="Graphic 6"/>
                        <wps:cNvSpPr/>
                        <wps:spPr>
                          <a:xfrm>
                            <a:off x="0" y="6350"/>
                            <a:ext cx="1600200" cy="1270"/>
                          </a:xfrm>
                          <a:custGeom>
                            <a:avLst/>
                            <a:gdLst/>
                            <a:ahLst/>
                            <a:cxnLst/>
                            <a:rect l="l" t="t" r="r" b="b"/>
                            <a:pathLst>
                              <a:path w="1600200" h="0">
                                <a:moveTo>
                                  <a:pt x="0" y="0"/>
                                </a:moveTo>
                                <a:lnTo>
                                  <a:pt x="596900" y="0"/>
                                </a:lnTo>
                              </a:path>
                              <a:path w="1600200" h="0">
                                <a:moveTo>
                                  <a:pt x="596900" y="0"/>
                                </a:moveTo>
                                <a:lnTo>
                                  <a:pt x="1511300" y="0"/>
                                </a:lnTo>
                              </a:path>
                              <a:path w="1600200" h="0">
                                <a:moveTo>
                                  <a:pt x="1511300" y="0"/>
                                </a:moveTo>
                                <a:lnTo>
                                  <a:pt x="1549400" y="0"/>
                                </a:lnTo>
                              </a:path>
                              <a:path w="1600200" h="0">
                                <a:moveTo>
                                  <a:pt x="1562100" y="0"/>
                                </a:moveTo>
                                <a:lnTo>
                                  <a:pt x="16002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6pt;height:1pt;mso-position-horizontal-relative:char;mso-position-vertical-relative:line" id="docshapegroup5" coordorigin="0,0" coordsize="2520,20">
                <v:shape style="position:absolute;left:0;top:10;width:2520;height:2" id="docshape6" coordorigin="0,10" coordsize="2520,0" path="m0,10l940,10m940,10l2380,10m2380,10l2440,10m2460,10l2520,10e" filled="false" stroked="true" strokeweight="1pt" strokecolor="#000000">
                  <v:path arrowok="t"/>
                  <v:stroke dashstyle="solid"/>
                </v:shape>
              </v:group>
            </w:pict>
          </mc:Fallback>
        </mc:AlternateContent>
      </w:r>
      <w:r>
        <w:rPr>
          <w:sz w:val="2"/>
        </w:rPr>
      </w:r>
    </w:p>
    <w:p>
      <w:pPr>
        <w:pStyle w:val="BodyText"/>
        <w:tabs>
          <w:tab w:pos="2386" w:val="left" w:leader="none"/>
        </w:tabs>
        <w:spacing w:line="242" w:lineRule="auto" w:before="238"/>
        <w:ind w:left="7" w:right="201"/>
        <w:jc w:val="both"/>
      </w:pPr>
      <w:r>
        <w:rPr/>
        <mc:AlternateContent>
          <mc:Choice Requires="wps">
            <w:drawing>
              <wp:anchor distT="0" distB="0" distL="0" distR="0" allowOverlap="1" layoutInCell="1" locked="0" behindDoc="1" simplePos="0" relativeHeight="487528448">
                <wp:simplePos x="0" y="0"/>
                <wp:positionH relativeFrom="page">
                  <wp:posOffset>723900</wp:posOffset>
                </wp:positionH>
                <wp:positionV relativeFrom="paragraph">
                  <wp:posOffset>344214</wp:posOffset>
                </wp:positionV>
                <wp:extent cx="15494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549400" cy="1270"/>
                        </a:xfrm>
                        <a:custGeom>
                          <a:avLst/>
                          <a:gdLst/>
                          <a:ahLst/>
                          <a:cxnLst/>
                          <a:rect l="l" t="t" r="r" b="b"/>
                          <a:pathLst>
                            <a:path w="1549400" h="0">
                              <a:moveTo>
                                <a:pt x="0" y="0"/>
                              </a:moveTo>
                              <a:lnTo>
                                <a:pt x="457200" y="0"/>
                              </a:lnTo>
                            </a:path>
                            <a:path w="1549400" h="0">
                              <a:moveTo>
                                <a:pt x="457200" y="0"/>
                              </a:moveTo>
                              <a:lnTo>
                                <a:pt x="1511300" y="0"/>
                              </a:lnTo>
                            </a:path>
                            <a:path w="1549400" h="0">
                              <a:moveTo>
                                <a:pt x="1511300" y="0"/>
                              </a:moveTo>
                              <a:lnTo>
                                <a:pt x="1549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pt;margin-top:27.103516pt;width:122pt;height:.1pt;mso-position-horizontal-relative:page;mso-position-vertical-relative:paragraph;z-index:-15788032" id="docshape7" coordorigin="1140,542" coordsize="2440,0" path="m1140,542l1860,542m1860,542l3520,542m3520,542l3580,542e" filled="false" stroked="true" strokeweight="1pt" strokecolor="#000000">
                <v:path arrowok="t"/>
                <v:stroke dashstyle="solid"/>
                <w10:wrap type="none"/>
              </v:shape>
            </w:pict>
          </mc:Fallback>
        </mc:AlternateContent>
      </w:r>
      <w:r>
        <w:rPr>
          <w:b/>
          <w:spacing w:val="-4"/>
        </w:rPr>
        <w:t>KONU</w:t>
      </w:r>
      <w:r>
        <w:rPr>
          <w:b/>
        </w:rPr>
        <w:tab/>
        <w:t>: </w:t>
      </w:r>
      <w:r>
        <w:rPr/>
        <w:t>T.C. Sosyal Güvenlik Kurumu Başkanlığı Ankara Sosyal Güvenlik İl Müdürlüğü X Merkezi’nin 11/07/2023 tarihli X sayılı işleminin iptali ile ölümcül genetik bir hastalığa sahip müvekkilin tedavisi için hayati önem taşıdığı doktor raporu ile sabit olan “Elexacaftor, Tezacaftor, İvacaftor ve İvacaftor” etken maddeli “Trikafta” adlı</w:t>
      </w:r>
      <w:r>
        <w:rPr>
          <w:spacing w:val="80"/>
        </w:rPr>
        <w:t> </w:t>
      </w:r>
      <w:r>
        <w:rPr/>
        <w:t>ilaç bedelinin tedavi</w:t>
      </w:r>
      <w:r>
        <w:rPr>
          <w:spacing w:val="-15"/>
        </w:rPr>
        <w:t> </w:t>
      </w:r>
      <w:r>
        <w:rPr/>
        <w:t>süresinin</w:t>
      </w:r>
      <w:r>
        <w:rPr>
          <w:spacing w:val="14"/>
        </w:rPr>
        <w:t> </w:t>
      </w:r>
      <w:r>
        <w:rPr/>
        <w:t>başlangıcı</w:t>
      </w:r>
      <w:r>
        <w:rPr>
          <w:spacing w:val="-15"/>
        </w:rPr>
        <w:t> </w:t>
      </w:r>
      <w:r>
        <w:rPr/>
        <w:t>dahil olmak</w:t>
      </w:r>
      <w:r>
        <w:rPr>
          <w:spacing w:val="-8"/>
        </w:rPr>
        <w:t> </w:t>
      </w:r>
      <w:r>
        <w:rPr/>
        <w:t>üzere tedavi süresi boyunca</w:t>
      </w:r>
      <w:r>
        <w:rPr>
          <w:spacing w:val="-15"/>
        </w:rPr>
        <w:t> </w:t>
      </w:r>
      <w:r>
        <w:rPr/>
        <w:t>herhangi bir kesinti olmaksızın davalı kurum tarafından</w:t>
      </w:r>
      <w:r>
        <w:rPr>
          <w:spacing w:val="-1"/>
        </w:rPr>
        <w:t> </w:t>
      </w:r>
      <w:r>
        <w:rPr/>
        <w:t>karşılanması</w:t>
      </w:r>
      <w:r>
        <w:rPr>
          <w:spacing w:val="40"/>
        </w:rPr>
        <w:t> </w:t>
      </w:r>
      <w:r>
        <w:rPr/>
        <w:t>talebimizi</w:t>
      </w:r>
      <w:r>
        <w:rPr>
          <w:spacing w:val="40"/>
        </w:rPr>
        <w:t> </w:t>
      </w:r>
      <w:r>
        <w:rPr/>
        <w:t>içeren dava dilekçemizdir.</w:t>
      </w:r>
    </w:p>
    <w:p>
      <w:pPr>
        <w:pStyle w:val="BodyText"/>
        <w:spacing w:before="11"/>
      </w:pPr>
    </w:p>
    <w:p>
      <w:pPr>
        <w:pStyle w:val="Heading1"/>
        <w:tabs>
          <w:tab w:pos="2386" w:val="left" w:leader="none"/>
        </w:tabs>
        <w:spacing w:after="19"/>
      </w:pPr>
      <w:r>
        <w:rPr>
          <w:spacing w:val="-2"/>
        </w:rPr>
        <w:t>AÇIKLAMALAR</w:t>
      </w:r>
      <w:r>
        <w:rPr/>
        <w:tab/>
      </w:r>
      <w:r>
        <w:rPr>
          <w:spacing w:val="-10"/>
        </w:rPr>
        <w:t>:</w:t>
      </w:r>
    </w:p>
    <w:p>
      <w:pPr>
        <w:pStyle w:val="BodyText"/>
        <w:spacing w:line="20" w:lineRule="exact"/>
        <w:ind w:left="-3"/>
        <w:rPr>
          <w:sz w:val="2"/>
        </w:rPr>
      </w:pPr>
      <w:r>
        <w:rPr>
          <w:sz w:val="2"/>
        </w:rPr>
        <mc:AlternateContent>
          <mc:Choice Requires="wps">
            <w:drawing>
              <wp:inline distT="0" distB="0" distL="0" distR="0">
                <wp:extent cx="1549400" cy="12700"/>
                <wp:effectExtent l="9525" t="0" r="3175" b="6350"/>
                <wp:docPr id="8" name="Group 8"/>
                <wp:cNvGraphicFramePr>
                  <a:graphicFrameLocks/>
                </wp:cNvGraphicFramePr>
                <a:graphic>
                  <a:graphicData uri="http://schemas.microsoft.com/office/word/2010/wordprocessingGroup">
                    <wpg:wgp>
                      <wpg:cNvPr id="8" name="Group 8"/>
                      <wpg:cNvGrpSpPr/>
                      <wpg:grpSpPr>
                        <a:xfrm>
                          <a:off x="0" y="0"/>
                          <a:ext cx="1549400" cy="12700"/>
                          <a:chExt cx="1549400" cy="12700"/>
                        </a:xfrm>
                      </wpg:grpSpPr>
                      <wps:wsp>
                        <wps:cNvPr id="9" name="Graphic 9"/>
                        <wps:cNvSpPr/>
                        <wps:spPr>
                          <a:xfrm>
                            <a:off x="0" y="6350"/>
                            <a:ext cx="1549400" cy="1270"/>
                          </a:xfrm>
                          <a:custGeom>
                            <a:avLst/>
                            <a:gdLst/>
                            <a:ahLst/>
                            <a:cxnLst/>
                            <a:rect l="l" t="t" r="r" b="b"/>
                            <a:pathLst>
                              <a:path w="1549400" h="0">
                                <a:moveTo>
                                  <a:pt x="0" y="0"/>
                                </a:moveTo>
                                <a:lnTo>
                                  <a:pt x="1181100" y="0"/>
                                </a:lnTo>
                              </a:path>
                              <a:path w="1549400" h="0">
                                <a:moveTo>
                                  <a:pt x="1181100" y="0"/>
                                </a:moveTo>
                                <a:lnTo>
                                  <a:pt x="1511300" y="0"/>
                                </a:lnTo>
                              </a:path>
                              <a:path w="1549400" h="0">
                                <a:moveTo>
                                  <a:pt x="1511300" y="0"/>
                                </a:moveTo>
                                <a:lnTo>
                                  <a:pt x="15494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2pt;height:1pt;mso-position-horizontal-relative:char;mso-position-vertical-relative:line" id="docshapegroup8" coordorigin="0,0" coordsize="2440,20">
                <v:shape style="position:absolute;left:0;top:10;width:2440;height:2" id="docshape9" coordorigin="0,10" coordsize="2440,0" path="m0,10l1860,10m1860,10l2380,10m2380,10l2440,10e" filled="false" stroked="true" strokeweight="1pt" strokecolor="#000000">
                  <v:path arrowok="t"/>
                  <v:stroke dashstyle="solid"/>
                </v:shape>
              </v:group>
            </w:pict>
          </mc:Fallback>
        </mc:AlternateContent>
      </w:r>
      <w:r>
        <w:rPr>
          <w:sz w:val="2"/>
        </w:rPr>
      </w:r>
    </w:p>
    <w:p>
      <w:pPr>
        <w:pStyle w:val="ListParagraph"/>
        <w:numPr>
          <w:ilvl w:val="0"/>
          <w:numId w:val="1"/>
        </w:numPr>
        <w:tabs>
          <w:tab w:pos="1180" w:val="left" w:leader="none"/>
        </w:tabs>
        <w:spacing w:line="242" w:lineRule="auto" w:before="246" w:after="0"/>
        <w:ind w:left="7" w:right="202" w:firstLine="840"/>
        <w:jc w:val="both"/>
        <w:rPr>
          <w:sz w:val="24"/>
        </w:rPr>
      </w:pPr>
      <w:r>
        <w:rPr>
          <w:sz w:val="24"/>
        </w:rPr>
        <w:t>Müvekkil X 10/10/2017 tarihinde dünyaya gelmiş olup, doğduğu günden itibaren kendisine konulan akciğer tutulumu ile birlikte kistik fibrozis hastalığı tanısı ile hayatına devam etmektedir. Kistik fibrozis (KF), doğumdan itibaren solunum sistemi, sindirim sistemi ve üreme sistemininde yer alan mukus ve ter bezlerini etkileyen kalıtsal bir hastalık olup; KF’li hastalarda vücuttaki bütün salgılar susuz, koyulaşmış ve yoğun kıvamda olup akışkan özelliği kaybolduğundan akciğer, karaciğer, pankreas, bağırsaklar gibi organların kanallarında salgılar birikerek tıkanmaya, enfeksiyonlara ve hasara neden olmaktadır.</w:t>
      </w:r>
    </w:p>
    <w:p>
      <w:pPr>
        <w:pStyle w:val="BodyText"/>
        <w:spacing w:before="12"/>
      </w:pPr>
    </w:p>
    <w:p>
      <w:pPr>
        <w:pStyle w:val="BodyText"/>
        <w:spacing w:line="242" w:lineRule="auto" w:before="1"/>
        <w:ind w:left="7" w:right="201" w:firstLine="840"/>
        <w:jc w:val="both"/>
      </w:pPr>
      <w:r>
        <w:rPr/>
        <w:t>Doğar doğmaz postnatal mekonyum ileus -sıklıkla kistik fibrozisin en erken belirtisidir- tanısı konan müvekkil</w:t>
      </w:r>
      <w:r>
        <w:rPr>
          <w:spacing w:val="40"/>
        </w:rPr>
        <w:t> </w:t>
      </w:r>
      <w:r>
        <w:rPr/>
        <w:t>daha 5 ve 7 günlükken ameliyatlar</w:t>
      </w:r>
      <w:r>
        <w:rPr>
          <w:spacing w:val="40"/>
        </w:rPr>
        <w:t> </w:t>
      </w:r>
      <w:r>
        <w:rPr/>
        <w:t>geçirmiş, 22 gün boyunca serviste yatmış, ikinci operasyon öncesinde bağırsak</w:t>
      </w:r>
      <w:r>
        <w:rPr>
          <w:spacing w:val="-1"/>
        </w:rPr>
        <w:t> </w:t>
      </w:r>
      <w:r>
        <w:rPr/>
        <w:t>delinmesi</w:t>
      </w:r>
      <w:r>
        <w:rPr>
          <w:spacing w:val="-2"/>
        </w:rPr>
        <w:t> </w:t>
      </w:r>
      <w:r>
        <w:rPr/>
        <w:t>görülmüş, tedavi sonrası müvekkilde</w:t>
      </w:r>
      <w:r>
        <w:rPr>
          <w:spacing w:val="-1"/>
        </w:rPr>
        <w:t> </w:t>
      </w:r>
      <w:r>
        <w:rPr/>
        <w:t>kistik fibrozis yönünden araştırılma</w:t>
      </w:r>
      <w:r>
        <w:rPr>
          <w:spacing w:val="40"/>
        </w:rPr>
        <w:t> </w:t>
      </w:r>
      <w:r>
        <w:rPr/>
        <w:t>yapılmış ve müvekkilin</w:t>
      </w:r>
      <w:r>
        <w:rPr>
          <w:spacing w:val="40"/>
        </w:rPr>
        <w:t> </w:t>
      </w:r>
      <w:r>
        <w:rPr/>
        <w:t>akciğer ve bağırsaklarında iltihap biriktiği görülmüştür. Müvekkil doğduğundan beri sık aralıklarla</w:t>
      </w:r>
      <w:r>
        <w:rPr>
          <w:spacing w:val="80"/>
        </w:rPr>
        <w:t> </w:t>
      </w:r>
      <w:r>
        <w:rPr/>
        <w:t>hastaneye yatırılmakta, uzun süren hastane yatışları ile vücudunda</w:t>
      </w:r>
      <w:r>
        <w:rPr>
          <w:spacing w:val="-1"/>
        </w:rPr>
        <w:t> </w:t>
      </w:r>
      <w:r>
        <w:rPr/>
        <w:t>biriken enfeksiyonlar giderilerek nefes alması ve hayatta kalması sağlanmaya çalışılmaktadır. Ancak mevcut tüm tedavilere</w:t>
      </w:r>
      <w:r>
        <w:rPr>
          <w:spacing w:val="40"/>
        </w:rPr>
        <w:t> </w:t>
      </w:r>
      <w:r>
        <w:rPr/>
        <w:t>rağmen hastalık ilerlediğinden ve durdurulamadığından bu</w:t>
      </w:r>
      <w:r>
        <w:rPr>
          <w:spacing w:val="-9"/>
        </w:rPr>
        <w:t> </w:t>
      </w:r>
      <w:r>
        <w:rPr/>
        <w:t>hastalığa sahip</w:t>
      </w:r>
      <w:r>
        <w:rPr>
          <w:spacing w:val="-15"/>
        </w:rPr>
        <w:t> </w:t>
      </w:r>
      <w:r>
        <w:rPr/>
        <w:t>bireylerin yaşları</w:t>
      </w:r>
      <w:r>
        <w:rPr>
          <w:spacing w:val="-9"/>
        </w:rPr>
        <w:t> </w:t>
      </w:r>
      <w:r>
        <w:rPr/>
        <w:t>ilerledikçe</w:t>
      </w:r>
      <w:r>
        <w:rPr>
          <w:spacing w:val="40"/>
        </w:rPr>
        <w:t> </w:t>
      </w:r>
      <w:r>
        <w:rPr/>
        <w:t>iç</w:t>
      </w:r>
      <w:r>
        <w:rPr>
          <w:spacing w:val="-2"/>
        </w:rPr>
        <w:t> </w:t>
      </w:r>
      <w:r>
        <w:rPr/>
        <w:t>organlarının</w:t>
      </w:r>
      <w:r>
        <w:rPr>
          <w:spacing w:val="-3"/>
        </w:rPr>
        <w:t> </w:t>
      </w:r>
      <w:r>
        <w:rPr/>
        <w:t>zarar görmesi sebebi ile ortalama 20’li yaşlarda bu hastalığı kaldıramamaya başlayıp hastalar yaşamlarını </w:t>
      </w:r>
      <w:r>
        <w:rPr>
          <w:spacing w:val="-2"/>
        </w:rPr>
        <w:t>kaybetmektedir.</w:t>
      </w:r>
    </w:p>
    <w:p>
      <w:pPr>
        <w:pStyle w:val="BodyText"/>
        <w:spacing w:before="16"/>
      </w:pPr>
    </w:p>
    <w:p>
      <w:pPr>
        <w:pStyle w:val="BodyText"/>
        <w:spacing w:line="242" w:lineRule="auto"/>
        <w:ind w:left="7" w:right="200" w:firstLine="840"/>
        <w:jc w:val="both"/>
      </w:pPr>
      <w:r>
        <w:rPr/>
        <w:t>Kistik fibrozis tedavisi için yapılan araştırmalarda</w:t>
      </w:r>
      <w:r>
        <w:rPr>
          <w:spacing w:val="-1"/>
        </w:rPr>
        <w:t> </w:t>
      </w:r>
      <w:r>
        <w:rPr/>
        <w:t>“Elexacaftor, Tezacaftor, İvacaftor ve İvacaftor”</w:t>
      </w:r>
      <w:r>
        <w:rPr>
          <w:spacing w:val="-7"/>
        </w:rPr>
        <w:t> </w:t>
      </w:r>
      <w:r>
        <w:rPr/>
        <w:t>etken maddeli</w:t>
      </w:r>
      <w:r>
        <w:rPr>
          <w:spacing w:val="-15"/>
        </w:rPr>
        <w:t> </w:t>
      </w:r>
      <w:r>
        <w:rPr/>
        <w:t>gen mutasyonu</w:t>
      </w:r>
      <w:r>
        <w:rPr>
          <w:spacing w:val="-2"/>
        </w:rPr>
        <w:t> </w:t>
      </w:r>
      <w:r>
        <w:rPr/>
        <w:t>ilaçlarının</w:t>
      </w:r>
      <w:r>
        <w:rPr>
          <w:spacing w:val="-3"/>
        </w:rPr>
        <w:t> </w:t>
      </w:r>
      <w:r>
        <w:rPr/>
        <w:t>hastaların</w:t>
      </w:r>
      <w:r>
        <w:rPr>
          <w:spacing w:val="-2"/>
        </w:rPr>
        <w:t> </w:t>
      </w:r>
      <w:r>
        <w:rPr/>
        <w:t>akciğer fonksiyonlarında</w:t>
      </w:r>
      <w:r>
        <w:rPr>
          <w:spacing w:val="-14"/>
        </w:rPr>
        <w:t> </w:t>
      </w:r>
      <w:r>
        <w:rPr/>
        <w:t>iyileşme</w:t>
      </w:r>
      <w:r>
        <w:rPr>
          <w:spacing w:val="-3"/>
        </w:rPr>
        <w:t> </w:t>
      </w:r>
      <w:r>
        <w:rPr/>
        <w:t>ile büyüme ve gelişme paremetrelerinde, yaşam kalitesi ve yaşam süresinde belirgin artış sağladığı, pankreas fonksiyonlarında düzelme ve tartı alımı ile ter testi düzeyinde anlamlı bir düşme olduğu yapılan çalışmalarda</w:t>
      </w:r>
      <w:r>
        <w:rPr>
          <w:spacing w:val="40"/>
        </w:rPr>
        <w:t> </w:t>
      </w:r>
      <w:r>
        <w:rPr/>
        <w:t>tespit edilmiştir. Hastanın şikayetlerini hafifletmeye</w:t>
      </w:r>
      <w:r>
        <w:rPr>
          <w:spacing w:val="40"/>
        </w:rPr>
        <w:t> </w:t>
      </w:r>
      <w:r>
        <w:rPr/>
        <w:t>yarayan ama hastalığı tedavi edemeyen mevcut ilaçlar yerine talebe konu Elexacaftor, Tezacaftor, İvacaftor</w:t>
      </w:r>
      <w:r>
        <w:rPr>
          <w:spacing w:val="40"/>
        </w:rPr>
        <w:t> </w:t>
      </w:r>
      <w:r>
        <w:rPr/>
        <w:t>ve İvacaftor etken maddeli gen mutasyonu ilaçlarının akciğer ve pankreas fonksiyonlarını tedavi etme ihtimali bulunmaktadır. Ancak ülkemizde bu talebe konu ilaç gibi akciğer ve pankreas fonksiyonlarında iyileşme sağlayabilen tedavi edici muadil bir ilaç bulunmamakta ve yurtdışında olan ilaçlar da davalı Kurum tarafından karşılanmamaktadır. Dolayısıyla müvekkilin sağlığına kavuşması, hastalığının ilerlemeden sağkalımı için etkinliği kanıtlanan Amerika ve Avrupa’da onayları alınıp kullanılan bu ilaç tedavilerini</w:t>
      </w:r>
      <w:r>
        <w:rPr>
          <w:spacing w:val="40"/>
        </w:rPr>
        <w:t> </w:t>
      </w:r>
      <w:r>
        <w:rPr/>
        <w:t>alması tek şansıdır.</w:t>
      </w:r>
    </w:p>
    <w:p>
      <w:pPr>
        <w:pStyle w:val="BodyText"/>
        <w:spacing w:before="19"/>
      </w:pPr>
    </w:p>
    <w:p>
      <w:pPr>
        <w:pStyle w:val="BodyText"/>
        <w:spacing w:line="242" w:lineRule="auto"/>
        <w:ind w:left="7" w:right="202" w:firstLine="840"/>
        <w:jc w:val="both"/>
      </w:pPr>
      <w:r>
        <w:rPr/>
        <w:t>Müvekkilin hastalığının kalıtsal, tüm vücuda</w:t>
      </w:r>
      <w:r>
        <w:rPr>
          <w:spacing w:val="40"/>
        </w:rPr>
        <w:t> </w:t>
      </w:r>
      <w:r>
        <w:rPr/>
        <w:t>zarar veren ölümcül bir hastalık olması ayrıca mevcut tedavi seçeneklerine rağmen hastalığın ve yarattığı yaygın organ, doku zararının ilerlemesinden</w:t>
      </w:r>
      <w:r>
        <w:rPr>
          <w:spacing w:val="40"/>
        </w:rPr>
        <w:t> </w:t>
      </w:r>
      <w:r>
        <w:rPr/>
        <w:t>dolayı</w:t>
      </w:r>
      <w:r>
        <w:rPr>
          <w:spacing w:val="34"/>
        </w:rPr>
        <w:t> </w:t>
      </w:r>
      <w:r>
        <w:rPr/>
        <w:t>doktoru</w:t>
      </w:r>
      <w:r>
        <w:rPr>
          <w:spacing w:val="28"/>
        </w:rPr>
        <w:t> </w:t>
      </w:r>
      <w:r>
        <w:rPr/>
        <w:t>tarafından</w:t>
      </w:r>
      <w:r>
        <w:rPr>
          <w:spacing w:val="42"/>
        </w:rPr>
        <w:t> </w:t>
      </w:r>
      <w:r>
        <w:rPr/>
        <w:t>acilen</w:t>
      </w:r>
      <w:r>
        <w:rPr>
          <w:spacing w:val="41"/>
        </w:rPr>
        <w:t> </w:t>
      </w:r>
      <w:r>
        <w:rPr/>
        <w:t>talebe</w:t>
      </w:r>
      <w:r>
        <w:rPr>
          <w:spacing w:val="28"/>
        </w:rPr>
        <w:t> </w:t>
      </w:r>
      <w:r>
        <w:rPr/>
        <w:t>konu</w:t>
      </w:r>
      <w:r>
        <w:rPr>
          <w:spacing w:val="36"/>
        </w:rPr>
        <w:t> </w:t>
      </w:r>
      <w:r>
        <w:rPr/>
        <w:t>ilaç</w:t>
      </w:r>
      <w:r>
        <w:rPr>
          <w:spacing w:val="28"/>
        </w:rPr>
        <w:t> </w:t>
      </w:r>
      <w:r>
        <w:rPr/>
        <w:t>tedavisine</w:t>
      </w:r>
      <w:r>
        <w:rPr>
          <w:spacing w:val="41"/>
        </w:rPr>
        <w:t> </w:t>
      </w:r>
      <w:r>
        <w:rPr/>
        <w:t>başlanması</w:t>
      </w:r>
      <w:r>
        <w:rPr>
          <w:spacing w:val="28"/>
        </w:rPr>
        <w:t> </w:t>
      </w:r>
      <w:r>
        <w:rPr>
          <w:spacing w:val="-2"/>
        </w:rPr>
        <w:t>gerektiği</w:t>
      </w:r>
    </w:p>
    <w:p>
      <w:pPr>
        <w:pStyle w:val="BodyText"/>
        <w:rPr>
          <w:sz w:val="20"/>
        </w:rPr>
      </w:pPr>
    </w:p>
    <w:p>
      <w:pPr>
        <w:pStyle w:val="BodyText"/>
        <w:spacing w:before="64"/>
        <w:rPr>
          <w:sz w:val="20"/>
        </w:rPr>
      </w:pPr>
      <w:r>
        <w:rPr>
          <w:sz w:val="20"/>
        </w:rPr>
        <w:drawing>
          <wp:anchor distT="0" distB="0" distL="0" distR="0" allowOverlap="1" layoutInCell="1" locked="0" behindDoc="1" simplePos="0" relativeHeight="487589376">
            <wp:simplePos x="0" y="0"/>
            <wp:positionH relativeFrom="page">
              <wp:posOffset>3698240</wp:posOffset>
            </wp:positionH>
            <wp:positionV relativeFrom="paragraph">
              <wp:posOffset>202010</wp:posOffset>
            </wp:positionV>
            <wp:extent cx="170755" cy="102679"/>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5" cstate="print"/>
                    <a:stretch>
                      <a:fillRect/>
                    </a:stretch>
                  </pic:blipFill>
                  <pic:spPr>
                    <a:xfrm>
                      <a:off x="0" y="0"/>
                      <a:ext cx="170755" cy="102679"/>
                    </a:xfrm>
                    <a:prstGeom prst="rect">
                      <a:avLst/>
                    </a:prstGeom>
                  </pic:spPr>
                </pic:pic>
              </a:graphicData>
            </a:graphic>
          </wp:anchor>
        </w:drawing>
      </w:r>
    </w:p>
    <w:p>
      <w:pPr>
        <w:pStyle w:val="BodyText"/>
        <w:spacing w:after="0"/>
        <w:rPr>
          <w:sz w:val="20"/>
        </w:rPr>
        <w:sectPr>
          <w:type w:val="continuous"/>
          <w:pgSz w:w="11910" w:h="16840"/>
          <w:pgMar w:top="1000" w:bottom="280" w:left="1133" w:right="992"/>
        </w:sectPr>
      </w:pPr>
    </w:p>
    <w:p>
      <w:pPr>
        <w:pStyle w:val="BodyText"/>
        <w:spacing w:before="78"/>
        <w:ind w:left="7"/>
        <w:rPr>
          <w:b/>
        </w:rPr>
      </w:pPr>
      <w:r>
        <w:rPr/>
        <w:t>belirtilmiş</w:t>
      </w:r>
      <w:r>
        <w:rPr>
          <w:spacing w:val="-9"/>
        </w:rPr>
        <w:t> </w:t>
      </w:r>
      <w:r>
        <w:rPr/>
        <w:t>ve</w:t>
      </w:r>
      <w:r>
        <w:rPr>
          <w:spacing w:val="13"/>
        </w:rPr>
        <w:t> </w:t>
      </w:r>
      <w:r>
        <w:rPr/>
        <w:t>reçete</w:t>
      </w:r>
      <w:r>
        <w:rPr>
          <w:spacing w:val="-14"/>
        </w:rPr>
        <w:t> </w:t>
      </w:r>
      <w:r>
        <w:rPr/>
        <w:t>edilmiştir.</w:t>
      </w:r>
      <w:r>
        <w:rPr>
          <w:spacing w:val="-2"/>
        </w:rPr>
        <w:t> </w:t>
      </w:r>
      <w:r>
        <w:rPr>
          <w:b/>
        </w:rPr>
        <w:t>(Ek-</w:t>
      </w:r>
      <w:r>
        <w:rPr>
          <w:b/>
          <w:spacing w:val="-5"/>
        </w:rPr>
        <w:t>1)</w:t>
      </w:r>
    </w:p>
    <w:p>
      <w:pPr>
        <w:pStyle w:val="BodyText"/>
        <w:spacing w:before="8"/>
        <w:rPr>
          <w:b/>
        </w:rPr>
      </w:pPr>
    </w:p>
    <w:p>
      <w:pPr>
        <w:pStyle w:val="ListParagraph"/>
        <w:numPr>
          <w:ilvl w:val="0"/>
          <w:numId w:val="1"/>
        </w:numPr>
        <w:tabs>
          <w:tab w:pos="1140" w:val="left" w:leader="none"/>
        </w:tabs>
        <w:spacing w:line="242" w:lineRule="auto" w:before="0" w:after="0"/>
        <w:ind w:left="7" w:right="206" w:firstLine="840"/>
        <w:jc w:val="both"/>
        <w:rPr>
          <w:b/>
          <w:sz w:val="24"/>
        </w:rPr>
      </w:pPr>
      <w:r>
        <w:rPr>
          <w:sz w:val="24"/>
        </w:rPr>
        <w:t>Doğumundan itibaren söz konusu hastalıkla birlikte yaşamını sürdüren müvekkilin X Polikliniğinde gerekli tetkikleri</w:t>
      </w:r>
      <w:r>
        <w:rPr>
          <w:spacing w:val="40"/>
          <w:sz w:val="24"/>
        </w:rPr>
        <w:t> </w:t>
      </w:r>
      <w:r>
        <w:rPr>
          <w:sz w:val="24"/>
        </w:rPr>
        <w:t>yapılarak</w:t>
      </w:r>
      <w:r>
        <w:rPr>
          <w:spacing w:val="-1"/>
          <w:sz w:val="24"/>
        </w:rPr>
        <w:t> </w:t>
      </w:r>
      <w:r>
        <w:rPr>
          <w:sz w:val="24"/>
        </w:rPr>
        <w:t>Türkiye İlaç ve Tıbbi Cihaz Kurumu’na ilaçların etken maddesinin tespiti amacıyla başvuru yapılmıştır. Kuruma yapılan X sayılı yurt dışı ilaç başvurusuyla</w:t>
      </w:r>
      <w:r>
        <w:rPr>
          <w:spacing w:val="-15"/>
          <w:sz w:val="24"/>
        </w:rPr>
        <w:t> </w:t>
      </w:r>
      <w:r>
        <w:rPr>
          <w:sz w:val="24"/>
        </w:rPr>
        <w:t>ilgili</w:t>
      </w:r>
      <w:r>
        <w:rPr>
          <w:spacing w:val="-3"/>
          <w:sz w:val="24"/>
        </w:rPr>
        <w:t> </w:t>
      </w:r>
      <w:r>
        <w:rPr>
          <w:sz w:val="24"/>
        </w:rPr>
        <w:t>olarak cevaben</w:t>
      </w:r>
      <w:r>
        <w:rPr>
          <w:spacing w:val="-15"/>
          <w:sz w:val="24"/>
        </w:rPr>
        <w:t> </w:t>
      </w:r>
      <w:r>
        <w:rPr>
          <w:sz w:val="24"/>
        </w:rPr>
        <w:t>hastalığın</w:t>
      </w:r>
      <w:r>
        <w:rPr>
          <w:spacing w:val="-3"/>
          <w:sz w:val="24"/>
        </w:rPr>
        <w:t> </w:t>
      </w:r>
      <w:r>
        <w:rPr>
          <w:sz w:val="24"/>
        </w:rPr>
        <w:t>tedavisinde</w:t>
      </w:r>
      <w:r>
        <w:rPr>
          <w:spacing w:val="-3"/>
          <w:sz w:val="24"/>
        </w:rPr>
        <w:t> </w:t>
      </w:r>
      <w:r>
        <w:rPr>
          <w:sz w:val="24"/>
        </w:rPr>
        <w:t>Elexacaftor, Tezacaftor</w:t>
      </w:r>
      <w:r>
        <w:rPr>
          <w:spacing w:val="-15"/>
          <w:sz w:val="24"/>
        </w:rPr>
        <w:t> </w:t>
      </w:r>
      <w:r>
        <w:rPr>
          <w:sz w:val="24"/>
        </w:rPr>
        <w:t>ve</w:t>
      </w:r>
      <w:r>
        <w:rPr>
          <w:spacing w:val="-15"/>
          <w:sz w:val="24"/>
        </w:rPr>
        <w:t> </w:t>
      </w:r>
      <w:r>
        <w:rPr>
          <w:sz w:val="24"/>
        </w:rPr>
        <w:t>İvacaftor Etken maddeli ilaç/ilaçların</w:t>
      </w:r>
      <w:r>
        <w:rPr>
          <w:spacing w:val="40"/>
          <w:sz w:val="24"/>
        </w:rPr>
        <w:t> </w:t>
      </w:r>
      <w:r>
        <w:rPr>
          <w:sz w:val="24"/>
        </w:rPr>
        <w:t>kullanımının uygun görüldüğü ifade edilmiştir. </w:t>
      </w:r>
      <w:r>
        <w:rPr>
          <w:b/>
          <w:sz w:val="24"/>
        </w:rPr>
        <w:t>(Ek-2)</w:t>
      </w:r>
    </w:p>
    <w:p>
      <w:pPr>
        <w:pStyle w:val="BodyText"/>
        <w:spacing w:before="10"/>
        <w:rPr>
          <w:b/>
        </w:rPr>
      </w:pPr>
    </w:p>
    <w:p>
      <w:pPr>
        <w:pStyle w:val="ListParagraph"/>
        <w:numPr>
          <w:ilvl w:val="0"/>
          <w:numId w:val="1"/>
        </w:numPr>
        <w:tabs>
          <w:tab w:pos="1121" w:val="left" w:leader="none"/>
        </w:tabs>
        <w:spacing w:line="242" w:lineRule="auto" w:before="0" w:after="0"/>
        <w:ind w:left="7" w:right="202" w:firstLine="840"/>
        <w:jc w:val="both"/>
        <w:rPr>
          <w:b/>
          <w:i/>
          <w:sz w:val="24"/>
        </w:rPr>
      </w:pPr>
      <w:r>
        <w:rPr>
          <w:sz w:val="24"/>
        </w:rPr>
        <w:t>Bu</w:t>
      </w:r>
      <w:r>
        <w:rPr>
          <w:spacing w:val="-11"/>
          <w:sz w:val="24"/>
        </w:rPr>
        <w:t> </w:t>
      </w:r>
      <w:r>
        <w:rPr>
          <w:sz w:val="24"/>
        </w:rPr>
        <w:t>minvalde X</w:t>
      </w:r>
      <w:r>
        <w:rPr>
          <w:spacing w:val="-15"/>
          <w:sz w:val="24"/>
        </w:rPr>
        <w:t> </w:t>
      </w:r>
      <w:r>
        <w:rPr>
          <w:sz w:val="24"/>
        </w:rPr>
        <w:t>Hastanelerinden alınan İlaç Kullanım</w:t>
      </w:r>
      <w:r>
        <w:rPr>
          <w:spacing w:val="-14"/>
          <w:sz w:val="24"/>
        </w:rPr>
        <w:t> </w:t>
      </w:r>
      <w:r>
        <w:rPr>
          <w:sz w:val="24"/>
        </w:rPr>
        <w:t>Ve Hasta</w:t>
      </w:r>
      <w:r>
        <w:rPr>
          <w:spacing w:val="-14"/>
          <w:sz w:val="24"/>
        </w:rPr>
        <w:t> </w:t>
      </w:r>
      <w:r>
        <w:rPr>
          <w:sz w:val="24"/>
        </w:rPr>
        <w:t>Katılım Payından</w:t>
      </w:r>
      <w:r>
        <w:rPr>
          <w:spacing w:val="-1"/>
          <w:sz w:val="24"/>
        </w:rPr>
        <w:t> </w:t>
      </w:r>
      <w:r>
        <w:rPr>
          <w:sz w:val="24"/>
        </w:rPr>
        <w:t>Muaf İlaç Raporunda </w:t>
      </w:r>
      <w:r>
        <w:rPr>
          <w:i/>
          <w:sz w:val="24"/>
        </w:rPr>
        <w:t>"Trikafta 3x1 (Elexacaftor 50 mg. + Tezacaftor 25 mg.</w:t>
      </w:r>
      <w:r>
        <w:rPr>
          <w:i/>
          <w:spacing w:val="40"/>
          <w:sz w:val="24"/>
        </w:rPr>
        <w:t> </w:t>
      </w:r>
      <w:r>
        <w:rPr>
          <w:i/>
          <w:sz w:val="24"/>
        </w:rPr>
        <w:t>+ İvacaftor 37,5 mg./İvacaftor 75 mg. ) kullanımı uygun görülmüştür"</w:t>
      </w:r>
      <w:r>
        <w:rPr>
          <w:i/>
          <w:spacing w:val="80"/>
          <w:sz w:val="24"/>
        </w:rPr>
        <w:t> </w:t>
      </w:r>
      <w:r>
        <w:rPr>
          <w:sz w:val="24"/>
        </w:rPr>
        <w:t>denilmekte</w:t>
      </w:r>
      <w:r>
        <w:rPr>
          <w:spacing w:val="80"/>
          <w:sz w:val="24"/>
        </w:rPr>
        <w:t> </w:t>
      </w:r>
      <w:r>
        <w:rPr>
          <w:sz w:val="24"/>
        </w:rPr>
        <w:t>olup ilgili ilaçların bir</w:t>
      </w:r>
      <w:r>
        <w:rPr>
          <w:spacing w:val="40"/>
          <w:sz w:val="24"/>
        </w:rPr>
        <w:t> </w:t>
      </w:r>
      <w:r>
        <w:rPr>
          <w:sz w:val="24"/>
        </w:rPr>
        <w:t>yıl süreyle kullanılmasının</w:t>
      </w:r>
      <w:r>
        <w:rPr>
          <w:spacing w:val="-3"/>
          <w:sz w:val="24"/>
        </w:rPr>
        <w:t> </w:t>
      </w:r>
      <w:r>
        <w:rPr>
          <w:sz w:val="24"/>
        </w:rPr>
        <w:t>gerektiği ve bu</w:t>
      </w:r>
      <w:r>
        <w:rPr>
          <w:spacing w:val="-7"/>
          <w:sz w:val="24"/>
        </w:rPr>
        <w:t> </w:t>
      </w:r>
      <w:r>
        <w:rPr>
          <w:sz w:val="24"/>
        </w:rPr>
        <w:t>ilaçların hasta</w:t>
      </w:r>
      <w:r>
        <w:rPr>
          <w:spacing w:val="-1"/>
          <w:sz w:val="24"/>
        </w:rPr>
        <w:t> </w:t>
      </w:r>
      <w:r>
        <w:rPr>
          <w:sz w:val="24"/>
        </w:rPr>
        <w:t>katılım payından muaf olduğu belirtilmiştir. </w:t>
      </w:r>
      <w:r>
        <w:rPr>
          <w:b/>
          <w:i/>
          <w:spacing w:val="-2"/>
          <w:sz w:val="24"/>
        </w:rPr>
        <w:t>(Ek-3)</w:t>
      </w:r>
    </w:p>
    <w:p>
      <w:pPr>
        <w:pStyle w:val="BodyText"/>
        <w:spacing w:before="10"/>
        <w:rPr>
          <w:b/>
          <w:i/>
        </w:rPr>
      </w:pPr>
    </w:p>
    <w:p>
      <w:pPr>
        <w:pStyle w:val="ListParagraph"/>
        <w:numPr>
          <w:ilvl w:val="0"/>
          <w:numId w:val="1"/>
        </w:numPr>
        <w:tabs>
          <w:tab w:pos="1200" w:val="left" w:leader="none"/>
        </w:tabs>
        <w:spacing w:line="242" w:lineRule="auto" w:before="1" w:after="0"/>
        <w:ind w:left="7" w:right="209" w:firstLine="840"/>
        <w:jc w:val="both"/>
        <w:rPr>
          <w:b/>
          <w:i/>
          <w:sz w:val="24"/>
        </w:rPr>
      </w:pPr>
      <w:r>
        <w:rPr>
          <w:b/>
          <w:i/>
          <w:sz w:val="24"/>
        </w:rPr>
        <mc:AlternateContent>
          <mc:Choice Requires="wps">
            <w:drawing>
              <wp:anchor distT="0" distB="0" distL="0" distR="0" allowOverlap="1" layoutInCell="1" locked="0" behindDoc="1" simplePos="0" relativeHeight="487590912">
                <wp:simplePos x="0" y="0"/>
                <wp:positionH relativeFrom="page">
                  <wp:posOffset>1333500</wp:posOffset>
                </wp:positionH>
                <wp:positionV relativeFrom="paragraph">
                  <wp:posOffset>1260430</wp:posOffset>
                </wp:positionV>
                <wp:extent cx="26035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603500" cy="1270"/>
                        </a:xfrm>
                        <a:custGeom>
                          <a:avLst/>
                          <a:gdLst/>
                          <a:ahLst/>
                          <a:cxnLst/>
                          <a:rect l="l" t="t" r="r" b="b"/>
                          <a:pathLst>
                            <a:path w="2603500" h="0">
                              <a:moveTo>
                                <a:pt x="0" y="0"/>
                              </a:moveTo>
                              <a:lnTo>
                                <a:pt x="38100" y="0"/>
                              </a:lnTo>
                            </a:path>
                            <a:path w="2603500" h="0">
                              <a:moveTo>
                                <a:pt x="38100" y="0"/>
                              </a:moveTo>
                              <a:lnTo>
                                <a:pt x="749300" y="0"/>
                              </a:lnTo>
                            </a:path>
                            <a:path w="2603500" h="0">
                              <a:moveTo>
                                <a:pt x="749300" y="0"/>
                              </a:moveTo>
                              <a:lnTo>
                                <a:pt x="787400" y="0"/>
                              </a:lnTo>
                            </a:path>
                            <a:path w="2603500" h="0">
                              <a:moveTo>
                                <a:pt x="787400" y="0"/>
                              </a:moveTo>
                              <a:lnTo>
                                <a:pt x="914400" y="0"/>
                              </a:lnTo>
                            </a:path>
                            <a:path w="2603500" h="0">
                              <a:moveTo>
                                <a:pt x="927100" y="0"/>
                              </a:moveTo>
                              <a:lnTo>
                                <a:pt x="965200" y="0"/>
                              </a:lnTo>
                            </a:path>
                            <a:path w="2603500" h="0">
                              <a:moveTo>
                                <a:pt x="965200" y="0"/>
                              </a:moveTo>
                              <a:lnTo>
                                <a:pt x="1346200" y="0"/>
                              </a:lnTo>
                            </a:path>
                            <a:path w="2603500" h="0">
                              <a:moveTo>
                                <a:pt x="1346200" y="0"/>
                              </a:moveTo>
                              <a:lnTo>
                                <a:pt x="1384300" y="0"/>
                              </a:lnTo>
                            </a:path>
                            <a:path w="2603500" h="0">
                              <a:moveTo>
                                <a:pt x="1384300" y="0"/>
                              </a:moveTo>
                              <a:lnTo>
                                <a:pt x="1727200" y="0"/>
                              </a:lnTo>
                            </a:path>
                            <a:path w="2603500" h="0">
                              <a:moveTo>
                                <a:pt x="1739900" y="0"/>
                              </a:moveTo>
                              <a:lnTo>
                                <a:pt x="1778000" y="0"/>
                              </a:lnTo>
                            </a:path>
                            <a:path w="2603500" h="0">
                              <a:moveTo>
                                <a:pt x="1778000" y="0"/>
                              </a:moveTo>
                              <a:lnTo>
                                <a:pt x="26035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5pt;margin-top:99.246521pt;width:205pt;height:.1pt;mso-position-horizontal-relative:page;mso-position-vertical-relative:paragraph;z-index:-15725568;mso-wrap-distance-left:0;mso-wrap-distance-right:0" id="docshape10" coordorigin="2100,1985" coordsize="4100,0" path="m2100,1985l2160,1985m2160,1985l3280,1985m3280,1985l3340,1985m3340,1985l3540,1985m3560,1985l3620,1985m3620,1985l4220,1985m4220,1985l4280,1985m4280,1985l4820,1985m4840,1985l4900,1985m4900,1985l6200,1985e" filled="false" stroked="true" strokeweight="1pt" strokecolor="#000000">
                <v:path arrowok="t"/>
                <v:stroke dashstyle="solid"/>
                <w10:wrap type="topAndBottom"/>
              </v:shape>
            </w:pict>
          </mc:Fallback>
        </mc:AlternateContent>
      </w:r>
      <w:r>
        <w:rPr>
          <w:sz w:val="24"/>
        </w:rPr>
        <w:t>Bununla birlikte X Sağlık Kurulu Raporunda </w:t>
      </w:r>
      <w:r>
        <w:rPr>
          <w:i/>
          <w:sz w:val="24"/>
        </w:rPr>
        <w:t>"X Tıp Fakültesi Çocuk Göğüs Hastalıkları Ana Bilim Dalında takip ve tedavisi süren X kimlik numaralı ve X dosya numaralı X isimli hasta için SUT kapsamındaki ilaçlar hastalığının altında yatan mutasyonu iyileştirme</w:t>
      </w:r>
      <w:r>
        <w:rPr>
          <w:i/>
          <w:spacing w:val="-1"/>
          <w:sz w:val="24"/>
        </w:rPr>
        <w:t> </w:t>
      </w:r>
      <w:r>
        <w:rPr>
          <w:i/>
          <w:sz w:val="24"/>
        </w:rPr>
        <w:t>etkisi olmayıp sadece hastalığın klinik bulgularının azaltılmasına yönelik etki etmektedir. Hastanın</w:t>
      </w:r>
      <w:r>
        <w:rPr>
          <w:i/>
          <w:spacing w:val="40"/>
          <w:sz w:val="24"/>
        </w:rPr>
        <w:t> </w:t>
      </w:r>
      <w:r>
        <w:rPr>
          <w:i/>
          <w:sz w:val="24"/>
        </w:rPr>
        <w:t>CFTR geninde hastalığının oluşumuna neden olan F508del/N1303K mutasyona yönelik tek ilaç olan </w:t>
      </w:r>
      <w:r>
        <w:rPr>
          <w:b/>
          <w:i/>
          <w:sz w:val="24"/>
        </w:rPr>
        <w:t>(Elexacaftor/ Tezacaftor/İvacaftor ve İvacaftor ) etkin maddeli ilacın kullanımı tedavi açısından zorunludur ve hayati önem taşımaktadır.</w:t>
      </w:r>
      <w:r>
        <w:rPr>
          <w:i/>
          <w:sz w:val="24"/>
        </w:rPr>
        <w:t>" </w:t>
      </w:r>
      <w:r>
        <w:rPr>
          <w:sz w:val="24"/>
        </w:rPr>
        <w:t>şeklinde belirtilmiştir. </w:t>
      </w:r>
      <w:r>
        <w:rPr>
          <w:b/>
          <w:i/>
          <w:sz w:val="24"/>
        </w:rPr>
        <w:t>(Ek-4)</w:t>
      </w:r>
    </w:p>
    <w:p>
      <w:pPr>
        <w:pStyle w:val="ListParagraph"/>
        <w:numPr>
          <w:ilvl w:val="0"/>
          <w:numId w:val="1"/>
        </w:numPr>
        <w:tabs>
          <w:tab w:pos="1120" w:val="left" w:leader="none"/>
          <w:tab w:pos="9504" w:val="left" w:leader="none"/>
        </w:tabs>
        <w:spacing w:line="242" w:lineRule="auto" w:before="246" w:after="0"/>
        <w:ind w:left="7" w:right="201" w:firstLine="840"/>
        <w:jc w:val="both"/>
        <w:rPr>
          <w:sz w:val="24"/>
        </w:rPr>
      </w:pPr>
      <w:r>
        <w:rPr>
          <w:sz w:val="24"/>
        </w:rPr>
        <w:t>Ancak müvekkilin hayatını idame ettirebilmesi</w:t>
      </w:r>
      <w:r>
        <w:rPr>
          <w:spacing w:val="40"/>
          <w:sz w:val="24"/>
        </w:rPr>
        <w:t> </w:t>
      </w:r>
      <w:r>
        <w:rPr>
          <w:sz w:val="24"/>
        </w:rPr>
        <w:t>için sürekli olarak kullanması</w:t>
      </w:r>
      <w:r>
        <w:rPr>
          <w:spacing w:val="-2"/>
          <w:sz w:val="24"/>
        </w:rPr>
        <w:t> </w:t>
      </w:r>
      <w:r>
        <w:rPr>
          <w:sz w:val="24"/>
        </w:rPr>
        <w:t>gereken söz konusu ilacın</w:t>
      </w:r>
      <w:r>
        <w:rPr>
          <w:spacing w:val="-2"/>
          <w:sz w:val="24"/>
        </w:rPr>
        <w:t> </w:t>
      </w:r>
      <w:r>
        <w:rPr>
          <w:sz w:val="24"/>
        </w:rPr>
        <w:t>tahmini piyasa fiyatı €47,642.65 (12.07.2023 tarihinde 1.373.061,17 TL)</w:t>
      </w:r>
      <w:r>
        <w:rPr>
          <w:spacing w:val="-1"/>
          <w:sz w:val="24"/>
        </w:rPr>
        <w:t> </w:t>
      </w:r>
      <w:r>
        <w:rPr>
          <w:sz w:val="24"/>
        </w:rPr>
        <w:t>olarak belirlenmiştir</w:t>
      </w:r>
      <w:r>
        <w:rPr>
          <w:spacing w:val="80"/>
          <w:sz w:val="24"/>
        </w:rPr>
        <w:t>  </w:t>
      </w:r>
      <w:r>
        <w:rPr>
          <w:sz w:val="24"/>
        </w:rPr>
        <w:t>(https://tr.everyone.org/trikafta-elexacaftor-tezacaftor-ivacaftor-ivacaftor)</w:t>
        <w:tab/>
      </w:r>
      <w:r>
        <w:rPr>
          <w:spacing w:val="-10"/>
          <w:sz w:val="24"/>
        </w:rPr>
        <w:t>. </w:t>
      </w:r>
      <w:r>
        <w:rPr>
          <w:sz w:val="24"/>
        </w:rPr>
        <w:t>Türkiye’de bulunmayan ve yurtdışından getirtilecek bu ilaçların</w:t>
      </w:r>
      <w:r>
        <w:rPr>
          <w:spacing w:val="40"/>
          <w:sz w:val="24"/>
        </w:rPr>
        <w:t> </w:t>
      </w:r>
      <w:r>
        <w:rPr>
          <w:sz w:val="24"/>
        </w:rPr>
        <w:t>piyasa değerinin ve iki çocuklu olan</w:t>
      </w:r>
      <w:r>
        <w:rPr>
          <w:spacing w:val="-1"/>
          <w:sz w:val="24"/>
        </w:rPr>
        <w:t> </w:t>
      </w:r>
      <w:r>
        <w:rPr>
          <w:sz w:val="24"/>
        </w:rPr>
        <w:t>ailenin</w:t>
      </w:r>
      <w:r>
        <w:rPr>
          <w:spacing w:val="-2"/>
          <w:sz w:val="24"/>
        </w:rPr>
        <w:t> </w:t>
      </w:r>
      <w:r>
        <w:rPr>
          <w:sz w:val="24"/>
        </w:rPr>
        <w:t>ekonomik</w:t>
      </w:r>
      <w:r>
        <w:rPr>
          <w:spacing w:val="-8"/>
          <w:sz w:val="24"/>
        </w:rPr>
        <w:t> </w:t>
      </w:r>
      <w:r>
        <w:rPr>
          <w:sz w:val="24"/>
        </w:rPr>
        <w:t>durumu</w:t>
      </w:r>
      <w:r>
        <w:rPr>
          <w:spacing w:val="25"/>
          <w:sz w:val="24"/>
        </w:rPr>
        <w:t> </w:t>
      </w:r>
      <w:r>
        <w:rPr>
          <w:sz w:val="24"/>
        </w:rPr>
        <w:t>ve</w:t>
      </w:r>
      <w:r>
        <w:rPr>
          <w:spacing w:val="-15"/>
          <w:sz w:val="24"/>
        </w:rPr>
        <w:t> </w:t>
      </w:r>
      <w:r>
        <w:rPr>
          <w:sz w:val="24"/>
        </w:rPr>
        <w:t>kullanım süresi</w:t>
      </w:r>
      <w:r>
        <w:rPr>
          <w:spacing w:val="-8"/>
          <w:sz w:val="24"/>
        </w:rPr>
        <w:t> </w:t>
      </w:r>
      <w:r>
        <w:rPr>
          <w:sz w:val="24"/>
        </w:rPr>
        <w:t>göz önüne</w:t>
      </w:r>
      <w:r>
        <w:rPr>
          <w:spacing w:val="-15"/>
          <w:sz w:val="24"/>
        </w:rPr>
        <w:t> </w:t>
      </w:r>
      <w:r>
        <w:rPr>
          <w:sz w:val="24"/>
        </w:rPr>
        <w:t>alındığında daimi olarak karşılanması mümkün değildir. Bu nedenle Müvekkil tarafından ilgili ilaçlar alınamamış ve tedavisine </w:t>
      </w:r>
      <w:r>
        <w:rPr>
          <w:spacing w:val="-2"/>
          <w:sz w:val="24"/>
        </w:rPr>
        <w:t>başlanamamıştır.</w:t>
      </w:r>
    </w:p>
    <w:p>
      <w:pPr>
        <w:pStyle w:val="BodyText"/>
        <w:spacing w:before="12"/>
      </w:pPr>
    </w:p>
    <w:p>
      <w:pPr>
        <w:pStyle w:val="ListParagraph"/>
        <w:numPr>
          <w:ilvl w:val="0"/>
          <w:numId w:val="1"/>
        </w:numPr>
        <w:tabs>
          <w:tab w:pos="1139" w:val="left" w:leader="none"/>
        </w:tabs>
        <w:spacing w:line="242" w:lineRule="auto" w:before="1" w:after="0"/>
        <w:ind w:left="7" w:right="205" w:firstLine="840"/>
        <w:jc w:val="both"/>
        <w:rPr>
          <w:sz w:val="24"/>
        </w:rPr>
      </w:pPr>
      <w:r>
        <w:rPr>
          <w:sz w:val="24"/>
        </w:rPr>
        <w:t>Tüm bu hususlar nedeniyle davalı kuruma müvekkil adına "Elexacaftor, Tezacaftor, İvacaftor ve İvacaftor”</w:t>
      </w:r>
      <w:r>
        <w:rPr>
          <w:spacing w:val="-15"/>
          <w:sz w:val="24"/>
        </w:rPr>
        <w:t> </w:t>
      </w:r>
      <w:r>
        <w:rPr>
          <w:sz w:val="24"/>
        </w:rPr>
        <w:t>etkin maddeli "Trikafta" isimli ilacın</w:t>
      </w:r>
      <w:r>
        <w:rPr>
          <w:spacing w:val="-1"/>
          <w:sz w:val="24"/>
        </w:rPr>
        <w:t> </w:t>
      </w:r>
      <w:r>
        <w:rPr>
          <w:sz w:val="24"/>
        </w:rPr>
        <w:t>bedelinin</w:t>
      </w:r>
      <w:r>
        <w:rPr>
          <w:spacing w:val="-1"/>
          <w:sz w:val="24"/>
        </w:rPr>
        <w:t> </w:t>
      </w:r>
      <w:r>
        <w:rPr>
          <w:sz w:val="24"/>
        </w:rPr>
        <w:t>temini talebiyle 06.07.2023 tarihinde başvuru yapılmıştır. Ancak davalı kurum X sayılı cevabi yazısında </w:t>
      </w:r>
      <w:r>
        <w:rPr>
          <w:b/>
          <w:i/>
          <w:sz w:val="24"/>
        </w:rPr>
        <w:t>(Ek-5) </w:t>
      </w:r>
      <w:r>
        <w:rPr>
          <w:sz w:val="24"/>
        </w:rPr>
        <w:t>müvekkil tarafından kullanılmasının</w:t>
      </w:r>
      <w:r>
        <w:rPr>
          <w:spacing w:val="-3"/>
          <w:sz w:val="24"/>
        </w:rPr>
        <w:t> </w:t>
      </w:r>
      <w:r>
        <w:rPr>
          <w:sz w:val="24"/>
        </w:rPr>
        <w:t>hayati öneme sahip olan ilaçların</w:t>
      </w:r>
      <w:r>
        <w:rPr>
          <w:spacing w:val="-14"/>
          <w:sz w:val="24"/>
        </w:rPr>
        <w:t> </w:t>
      </w:r>
      <w:r>
        <w:rPr>
          <w:sz w:val="24"/>
        </w:rPr>
        <w:t>Sağlık Uygulama Tebliğinde yer alan bedeli ödenecek ilaçlar listelerinde yer almadığından ilaç bedellerinin Kurum tarafından ödenmediğini belirterek taleplerimizi</w:t>
      </w:r>
      <w:r>
        <w:rPr>
          <w:spacing w:val="40"/>
          <w:sz w:val="24"/>
        </w:rPr>
        <w:t> </w:t>
      </w:r>
      <w:r>
        <w:rPr>
          <w:sz w:val="24"/>
        </w:rPr>
        <w:t>reddetmiştir.</w:t>
      </w:r>
    </w:p>
    <w:p>
      <w:pPr>
        <w:pStyle w:val="BodyText"/>
        <w:spacing w:before="11"/>
      </w:pPr>
    </w:p>
    <w:p>
      <w:pPr>
        <w:pStyle w:val="ListParagraph"/>
        <w:numPr>
          <w:ilvl w:val="0"/>
          <w:numId w:val="1"/>
        </w:numPr>
        <w:tabs>
          <w:tab w:pos="1159" w:val="left" w:leader="none"/>
        </w:tabs>
        <w:spacing w:line="242" w:lineRule="auto" w:before="0" w:after="0"/>
        <w:ind w:left="7" w:right="201" w:firstLine="840"/>
        <w:jc w:val="both"/>
        <w:rPr>
          <w:sz w:val="24"/>
        </w:rPr>
      </w:pPr>
      <w:r>
        <w:rPr>
          <w:sz w:val="24"/>
        </w:rPr>
        <w:t>Davalı SGK'nın SUT kurallarını gerekçe göstererek ilacın bedelini temin edemiyor olması anayasal bir hak olan yaşam hakkını da zedelemektedir. Müvekkil, ülkemiz şartlarında kendisine uygulanan</w:t>
      </w:r>
      <w:r>
        <w:rPr>
          <w:spacing w:val="40"/>
          <w:sz w:val="24"/>
        </w:rPr>
        <w:t> </w:t>
      </w:r>
      <w:r>
        <w:rPr>
          <w:sz w:val="24"/>
        </w:rPr>
        <w:t>ilaçlar ve diğer</w:t>
      </w:r>
      <w:r>
        <w:rPr>
          <w:spacing w:val="40"/>
          <w:sz w:val="24"/>
        </w:rPr>
        <w:t> </w:t>
      </w:r>
      <w:r>
        <w:rPr>
          <w:sz w:val="24"/>
        </w:rPr>
        <w:t>tüm tedavileri denemekle birlikte hali hazırda tedavileri devam etmektedir. Ancak hastalığın</w:t>
      </w:r>
      <w:r>
        <w:rPr>
          <w:spacing w:val="-3"/>
          <w:sz w:val="24"/>
        </w:rPr>
        <w:t> </w:t>
      </w:r>
      <w:r>
        <w:rPr>
          <w:sz w:val="24"/>
        </w:rPr>
        <w:t>yayılması durdurulamamıştır.</w:t>
      </w:r>
      <w:r>
        <w:rPr>
          <w:spacing w:val="40"/>
          <w:sz w:val="24"/>
        </w:rPr>
        <w:t> </w:t>
      </w:r>
      <w:r>
        <w:rPr>
          <w:sz w:val="24"/>
        </w:rPr>
        <w:t>Müvekkilin hayati tehlikesinin ortadan</w:t>
      </w:r>
      <w:r>
        <w:rPr>
          <w:spacing w:val="-8"/>
          <w:sz w:val="24"/>
        </w:rPr>
        <w:t> </w:t>
      </w:r>
      <w:r>
        <w:rPr>
          <w:sz w:val="24"/>
        </w:rPr>
        <w:t>kalkması ve sağlıklı</w:t>
      </w:r>
      <w:r>
        <w:rPr>
          <w:spacing w:val="-15"/>
          <w:sz w:val="24"/>
        </w:rPr>
        <w:t> </w:t>
      </w:r>
      <w:r>
        <w:rPr>
          <w:sz w:val="24"/>
        </w:rPr>
        <w:t>bir şekilde</w:t>
      </w:r>
      <w:r>
        <w:rPr>
          <w:spacing w:val="-9"/>
          <w:sz w:val="24"/>
        </w:rPr>
        <w:t> </w:t>
      </w:r>
      <w:r>
        <w:rPr>
          <w:sz w:val="24"/>
        </w:rPr>
        <w:t>hayatını</w:t>
      </w:r>
      <w:r>
        <w:rPr>
          <w:spacing w:val="-2"/>
          <w:sz w:val="24"/>
        </w:rPr>
        <w:t> </w:t>
      </w:r>
      <w:r>
        <w:rPr>
          <w:sz w:val="24"/>
        </w:rPr>
        <w:t>sürdürebilmesi için</w:t>
      </w:r>
      <w:r>
        <w:rPr>
          <w:spacing w:val="-8"/>
          <w:sz w:val="24"/>
        </w:rPr>
        <w:t> </w:t>
      </w:r>
      <w:r>
        <w:rPr>
          <w:sz w:val="24"/>
        </w:rPr>
        <w:t>TRIKAFTA isimli</w:t>
      </w:r>
      <w:r>
        <w:rPr>
          <w:spacing w:val="-15"/>
          <w:sz w:val="24"/>
        </w:rPr>
        <w:t> </w:t>
      </w:r>
      <w:r>
        <w:rPr>
          <w:sz w:val="24"/>
        </w:rPr>
        <w:t>ilacı sürekli olarak kullanması, anayasal ve en temel hak olan yaşam hakkının beraberinde getirdiği bir zorunluluktur. Yaşam hakkı kişinin anayasal ve en temel hakkı olduğundan diğer tüm hakların kullanımı ve varlığı bu hakka bağlıdır.</w:t>
      </w:r>
      <w:r>
        <w:rPr>
          <w:spacing w:val="40"/>
          <w:sz w:val="24"/>
        </w:rPr>
        <w:t> </w:t>
      </w:r>
      <w:r>
        <w:rPr>
          <w:sz w:val="24"/>
        </w:rPr>
        <w:t>Bu yönüyle yaşam hakkı</w:t>
      </w:r>
      <w:r>
        <w:rPr>
          <w:spacing w:val="40"/>
          <w:sz w:val="24"/>
        </w:rPr>
        <w:t> </w:t>
      </w:r>
      <w:r>
        <w:rPr>
          <w:sz w:val="24"/>
        </w:rPr>
        <w:t>mutlak bir haktır, dolayısıyla hiçbir kurum tarafından kullanımı engellenemez. Devlet, bireylerin yaşam hakkı ile maddi ve manevi varlıklarını koruma</w:t>
      </w:r>
      <w:r>
        <w:rPr>
          <w:spacing w:val="-1"/>
          <w:sz w:val="24"/>
        </w:rPr>
        <w:t> </w:t>
      </w:r>
      <w:r>
        <w:rPr>
          <w:sz w:val="24"/>
        </w:rPr>
        <w:t>hakkı kapsamında,</w:t>
      </w:r>
      <w:r>
        <w:rPr>
          <w:spacing w:val="-14"/>
          <w:sz w:val="24"/>
        </w:rPr>
        <w:t> </w:t>
      </w:r>
      <w:r>
        <w:rPr>
          <w:sz w:val="24"/>
        </w:rPr>
        <w:t>kamu veya özel</w:t>
      </w:r>
      <w:r>
        <w:rPr>
          <w:spacing w:val="-8"/>
          <w:sz w:val="24"/>
        </w:rPr>
        <w:t> </w:t>
      </w:r>
      <w:r>
        <w:rPr>
          <w:sz w:val="24"/>
        </w:rPr>
        <w:t>sağlık</w:t>
      </w:r>
      <w:r>
        <w:rPr>
          <w:spacing w:val="-2"/>
          <w:sz w:val="24"/>
        </w:rPr>
        <w:t> </w:t>
      </w:r>
      <w:r>
        <w:rPr>
          <w:sz w:val="24"/>
        </w:rPr>
        <w:t>kuruluşları tarafından</w:t>
      </w:r>
      <w:r>
        <w:rPr>
          <w:spacing w:val="-1"/>
          <w:sz w:val="24"/>
        </w:rPr>
        <w:t> </w:t>
      </w:r>
      <w:r>
        <w:rPr>
          <w:sz w:val="24"/>
        </w:rPr>
        <w:t>yerine getirilmesi önem teşkil etmeyip, sağlık ve tedavi hizmetlerini hastaların yaşamları ile maddi ve manevi varlıklarının korunmasına yönelik gerekli tedbirlerin alınabilmesini sağlayacak şekilde düzenlemek zorundadır. Kişinin yaşam hakkı ile maddi ve manevi varlığını koruma hakkı, birbirleriyle</w:t>
      </w:r>
      <w:r>
        <w:rPr>
          <w:spacing w:val="-15"/>
          <w:sz w:val="24"/>
        </w:rPr>
        <w:t> </w:t>
      </w:r>
      <w:r>
        <w:rPr>
          <w:sz w:val="24"/>
        </w:rPr>
        <w:t>sıkı</w:t>
      </w:r>
      <w:r>
        <w:rPr>
          <w:spacing w:val="18"/>
          <w:sz w:val="24"/>
        </w:rPr>
        <w:t> </w:t>
      </w:r>
      <w:r>
        <w:rPr>
          <w:sz w:val="24"/>
        </w:rPr>
        <w:t>bağlantıları</w:t>
      </w:r>
      <w:r>
        <w:rPr>
          <w:spacing w:val="-15"/>
          <w:sz w:val="24"/>
        </w:rPr>
        <w:t> </w:t>
      </w:r>
      <w:r>
        <w:rPr>
          <w:sz w:val="24"/>
        </w:rPr>
        <w:t>olan,</w:t>
      </w:r>
      <w:r>
        <w:rPr>
          <w:spacing w:val="-2"/>
          <w:sz w:val="24"/>
        </w:rPr>
        <w:t> </w:t>
      </w:r>
      <w:r>
        <w:rPr>
          <w:sz w:val="24"/>
        </w:rPr>
        <w:t>devredilmez ve vazgeçilmez</w:t>
      </w:r>
      <w:r>
        <w:rPr>
          <w:spacing w:val="-8"/>
          <w:sz w:val="24"/>
        </w:rPr>
        <w:t> </w:t>
      </w:r>
      <w:r>
        <w:rPr>
          <w:sz w:val="24"/>
        </w:rPr>
        <w:t>haklardandır.</w:t>
      </w:r>
      <w:r>
        <w:rPr>
          <w:spacing w:val="-2"/>
          <w:sz w:val="24"/>
        </w:rPr>
        <w:t> </w:t>
      </w:r>
      <w:r>
        <w:rPr>
          <w:sz w:val="24"/>
        </w:rPr>
        <w:t>Temel</w:t>
      </w:r>
      <w:r>
        <w:rPr>
          <w:spacing w:val="-2"/>
          <w:sz w:val="24"/>
        </w:rPr>
        <w:t> </w:t>
      </w:r>
      <w:r>
        <w:rPr>
          <w:sz w:val="24"/>
        </w:rPr>
        <w:t>haklar</w:t>
      </w:r>
      <w:r>
        <w:rPr>
          <w:spacing w:val="-7"/>
          <w:sz w:val="24"/>
        </w:rPr>
        <w:t> </w:t>
      </w:r>
      <w:r>
        <w:rPr>
          <w:sz w:val="24"/>
        </w:rPr>
        <w:t>arasında bir</w:t>
      </w:r>
      <w:r>
        <w:rPr>
          <w:spacing w:val="46"/>
          <w:sz w:val="24"/>
        </w:rPr>
        <w:t> </w:t>
      </w:r>
      <w:r>
        <w:rPr>
          <w:sz w:val="24"/>
        </w:rPr>
        <w:t>öncelik</w:t>
      </w:r>
      <w:r>
        <w:rPr>
          <w:spacing w:val="57"/>
          <w:w w:val="150"/>
          <w:sz w:val="24"/>
        </w:rPr>
        <w:t> </w:t>
      </w:r>
      <w:r>
        <w:rPr>
          <w:sz w:val="24"/>
        </w:rPr>
        <w:t>ve</w:t>
      </w:r>
      <w:r>
        <w:rPr>
          <w:spacing w:val="48"/>
          <w:sz w:val="24"/>
        </w:rPr>
        <w:t> </w:t>
      </w:r>
      <w:r>
        <w:rPr>
          <w:sz w:val="24"/>
        </w:rPr>
        <w:t>önem</w:t>
      </w:r>
      <w:r>
        <w:rPr>
          <w:spacing w:val="51"/>
          <w:w w:val="150"/>
          <w:sz w:val="24"/>
        </w:rPr>
        <w:t> </w:t>
      </w:r>
      <w:r>
        <w:rPr>
          <w:sz w:val="24"/>
        </w:rPr>
        <w:t>değerlendirilmesi</w:t>
      </w:r>
      <w:r>
        <w:rPr>
          <w:spacing w:val="53"/>
          <w:sz w:val="24"/>
        </w:rPr>
        <w:t> </w:t>
      </w:r>
      <w:r>
        <w:rPr>
          <w:sz w:val="24"/>
        </w:rPr>
        <w:t>yapılamayacağı</w:t>
      </w:r>
      <w:r>
        <w:rPr>
          <w:spacing w:val="61"/>
          <w:sz w:val="24"/>
        </w:rPr>
        <w:t>  </w:t>
      </w:r>
      <w:r>
        <w:rPr>
          <w:sz w:val="24"/>
        </w:rPr>
        <w:t>kuşkusuzdur.</w:t>
      </w:r>
      <w:r>
        <w:rPr>
          <w:spacing w:val="51"/>
          <w:w w:val="150"/>
          <w:sz w:val="24"/>
        </w:rPr>
        <w:t> </w:t>
      </w:r>
      <w:r>
        <w:rPr>
          <w:sz w:val="24"/>
        </w:rPr>
        <w:t>Ancak</w:t>
      </w:r>
      <w:r>
        <w:rPr>
          <w:spacing w:val="47"/>
          <w:sz w:val="24"/>
        </w:rPr>
        <w:t> </w:t>
      </w:r>
      <w:r>
        <w:rPr>
          <w:sz w:val="24"/>
        </w:rPr>
        <w:t>yaşam</w:t>
      </w:r>
      <w:r>
        <w:rPr>
          <w:spacing w:val="61"/>
          <w:sz w:val="24"/>
        </w:rPr>
        <w:t> </w:t>
      </w:r>
      <w:r>
        <w:rPr>
          <w:spacing w:val="-2"/>
          <w:sz w:val="24"/>
        </w:rPr>
        <w:t>hakkının,</w:t>
      </w:r>
    </w:p>
    <w:p>
      <w:pPr>
        <w:pStyle w:val="ListParagraph"/>
        <w:spacing w:after="0" w:line="242" w:lineRule="auto"/>
        <w:jc w:val="both"/>
        <w:rPr>
          <w:sz w:val="24"/>
        </w:rPr>
        <w:sectPr>
          <w:footerReference w:type="default" r:id="rId6"/>
          <w:pgSz w:w="11910" w:h="16840"/>
          <w:pgMar w:header="0" w:footer="438" w:top="1000" w:bottom="620" w:left="1133" w:right="992"/>
        </w:sectPr>
      </w:pPr>
    </w:p>
    <w:p>
      <w:pPr>
        <w:pStyle w:val="BodyText"/>
        <w:spacing w:line="242" w:lineRule="auto" w:before="78"/>
        <w:ind w:left="7" w:right="214"/>
        <w:jc w:val="both"/>
      </w:pPr>
      <w:r>
        <w:rPr/>
        <w:t>ortadan kalktığında</w:t>
      </w:r>
      <w:r>
        <w:rPr>
          <w:spacing w:val="40"/>
        </w:rPr>
        <w:t> </w:t>
      </w:r>
      <w:r>
        <w:rPr/>
        <w:t>kişi bakımından diğer tüm hak ve hürriyetlerin de kullanılamaz hale gelmesi nedeniyle, temel haklarla mukayese edildiğinde, mümtaz bir yeri olduğu ve özel koruma yöntemlerine</w:t>
      </w:r>
      <w:r>
        <w:rPr>
          <w:spacing w:val="40"/>
        </w:rPr>
        <w:t> </w:t>
      </w:r>
      <w:r>
        <w:rPr/>
        <w:t>ihtiyaç duyulduğu açıktır.</w:t>
      </w:r>
    </w:p>
    <w:p>
      <w:pPr>
        <w:pStyle w:val="BodyText"/>
        <w:spacing w:before="7"/>
      </w:pPr>
    </w:p>
    <w:p>
      <w:pPr>
        <w:pStyle w:val="BodyText"/>
        <w:spacing w:line="242" w:lineRule="auto" w:before="1" w:after="35"/>
        <w:ind w:left="7" w:right="200" w:firstLine="840"/>
        <w:jc w:val="both"/>
        <w:rPr>
          <w:b/>
        </w:rPr>
      </w:pPr>
      <w:r>
        <w:rPr>
          <w:b/>
        </w:rPr>
        <mc:AlternateContent>
          <mc:Choice Requires="wps">
            <w:drawing>
              <wp:anchor distT="0" distB="0" distL="0" distR="0" allowOverlap="1" layoutInCell="1" locked="0" behindDoc="0" simplePos="0" relativeHeight="15732736">
                <wp:simplePos x="0" y="0"/>
                <wp:positionH relativeFrom="page">
                  <wp:posOffset>3835400</wp:posOffset>
                </wp:positionH>
                <wp:positionV relativeFrom="paragraph">
                  <wp:posOffset>2854334</wp:posOffset>
                </wp:positionV>
                <wp:extent cx="2965450" cy="1270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2965450" cy="12700"/>
                          <a:chExt cx="2965450" cy="12700"/>
                        </a:xfrm>
                      </wpg:grpSpPr>
                      <wps:wsp>
                        <wps:cNvPr id="14" name="Graphic 14"/>
                        <wps:cNvSpPr/>
                        <wps:spPr>
                          <a:xfrm>
                            <a:off x="0" y="6350"/>
                            <a:ext cx="2959100" cy="1270"/>
                          </a:xfrm>
                          <a:custGeom>
                            <a:avLst/>
                            <a:gdLst/>
                            <a:ahLst/>
                            <a:cxnLst/>
                            <a:rect l="l" t="t" r="r" b="b"/>
                            <a:pathLst>
                              <a:path w="2959100" h="0">
                                <a:moveTo>
                                  <a:pt x="0" y="0"/>
                                </a:moveTo>
                                <a:lnTo>
                                  <a:pt x="279400" y="0"/>
                                </a:lnTo>
                              </a:path>
                              <a:path w="2959100" h="0">
                                <a:moveTo>
                                  <a:pt x="279400" y="0"/>
                                </a:moveTo>
                                <a:lnTo>
                                  <a:pt x="317500" y="0"/>
                                </a:lnTo>
                              </a:path>
                              <a:path w="2959100" h="0">
                                <a:moveTo>
                                  <a:pt x="317500" y="0"/>
                                </a:moveTo>
                                <a:lnTo>
                                  <a:pt x="1104900" y="0"/>
                                </a:lnTo>
                              </a:path>
                              <a:path w="2959100" h="0">
                                <a:moveTo>
                                  <a:pt x="1117600" y="0"/>
                                </a:moveTo>
                                <a:lnTo>
                                  <a:pt x="1155700" y="0"/>
                                </a:lnTo>
                              </a:path>
                              <a:path w="2959100" h="0">
                                <a:moveTo>
                                  <a:pt x="1155700" y="0"/>
                                </a:moveTo>
                                <a:lnTo>
                                  <a:pt x="1854200" y="0"/>
                                </a:lnTo>
                              </a:path>
                              <a:path w="2959100" h="0">
                                <a:moveTo>
                                  <a:pt x="1854200" y="0"/>
                                </a:moveTo>
                                <a:lnTo>
                                  <a:pt x="1892300" y="0"/>
                                </a:lnTo>
                              </a:path>
                              <a:path w="2959100" h="0">
                                <a:moveTo>
                                  <a:pt x="1905000" y="0"/>
                                </a:moveTo>
                                <a:lnTo>
                                  <a:pt x="1943100" y="0"/>
                                </a:lnTo>
                              </a:path>
                              <a:path w="2959100" h="0">
                                <a:moveTo>
                                  <a:pt x="1955800" y="0"/>
                                </a:moveTo>
                                <a:lnTo>
                                  <a:pt x="2476500" y="0"/>
                                </a:lnTo>
                              </a:path>
                              <a:path w="2959100" h="0">
                                <a:moveTo>
                                  <a:pt x="2489200" y="0"/>
                                </a:moveTo>
                                <a:lnTo>
                                  <a:pt x="2527300" y="0"/>
                                </a:lnTo>
                              </a:path>
                              <a:path w="2959100" h="0">
                                <a:moveTo>
                                  <a:pt x="2540000" y="0"/>
                                </a:moveTo>
                                <a:lnTo>
                                  <a:pt x="2959100" y="0"/>
                                </a:lnTo>
                              </a:path>
                            </a:pathLst>
                          </a:custGeom>
                          <a:ln w="12700">
                            <a:solidFill>
                              <a:srgbClr val="000000"/>
                            </a:solidFill>
                            <a:prstDash val="solid"/>
                          </a:ln>
                        </wps:spPr>
                        <wps:bodyPr wrap="square" lIns="0" tIns="0" rIns="0" bIns="0" rtlCol="0">
                          <a:prstTxWarp prst="textNoShape">
                            <a:avLst/>
                          </a:prstTxWarp>
                          <a:noAutofit/>
                        </wps:bodyPr>
                      </wps:wsp>
                      <wps:wsp>
                        <wps:cNvPr id="15" name="Graphic 15"/>
                        <wps:cNvSpPr/>
                        <wps:spPr>
                          <a:xfrm>
                            <a:off x="29527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2pt;margin-top:224.750717pt;width:233.5pt;height:1pt;mso-position-horizontal-relative:page;mso-position-vertical-relative:paragraph;z-index:15732736" id="docshapegroup11" coordorigin="6040,4495" coordsize="4670,20">
                <v:shape style="position:absolute;left:6040;top:4505;width:4660;height:2" id="docshape12" coordorigin="6040,4505" coordsize="4660,0" path="m6040,4505l6480,4505m6480,4505l6540,4505m6540,4505l7780,4505m7800,4505l7860,4505m7860,4505l8960,4505m8960,4505l9020,4505m9040,4505l9100,4505m9120,4505l9940,4505m9960,4505l10020,4505m10040,4505l10700,4505e" filled="false" stroked="true" strokeweight="1pt" strokecolor="#000000">
                  <v:path arrowok="t"/>
                  <v:stroke dashstyle="solid"/>
                </v:shape>
                <v:shape style="position:absolute;left:10690;top:4495;width:20;height:20" id="docshape13" coordorigin="10690,4495" coordsize="20,20" path="m10690,4505l10693,4498,10700,4495,10707,4498,10710,4505,10707,4512,10700,4515,10693,4512,10690,4505xe" filled="true" fillcolor="#000000" stroked="false">
                  <v:path arrowok="t"/>
                  <v:fill type="solid"/>
                </v:shape>
                <w10:wrap type="none"/>
              </v:group>
            </w:pict>
          </mc:Fallback>
        </mc:AlternateContent>
      </w:r>
      <w:r>
        <w:rPr/>
        <w:t>AİHM'ye göre, AİHS'nin 2. Maddesinde düzenlenen yaşam hakkı, taraf devletlere pozitif edimler yüklemektedir.</w:t>
      </w:r>
      <w:r>
        <w:rPr>
          <w:spacing w:val="-15"/>
        </w:rPr>
        <w:t> </w:t>
      </w:r>
      <w:r>
        <w:rPr/>
        <w:t>Bu pozitif</w:t>
      </w:r>
      <w:r>
        <w:rPr>
          <w:spacing w:val="-15"/>
        </w:rPr>
        <w:t> </w:t>
      </w:r>
      <w:r>
        <w:rPr/>
        <w:t>yükümlülük de devletlerin yargı</w:t>
      </w:r>
      <w:r>
        <w:rPr>
          <w:spacing w:val="-1"/>
        </w:rPr>
        <w:t> </w:t>
      </w:r>
      <w:r>
        <w:rPr/>
        <w:t>yetkisi altında</w:t>
      </w:r>
      <w:r>
        <w:rPr>
          <w:spacing w:val="-15"/>
        </w:rPr>
        <w:t> </w:t>
      </w:r>
      <w:r>
        <w:rPr/>
        <w:t>bulunan kişilerin hayatlarını korumak için uygun önlemleri almasını gerektirmektedir. (AİHM, Association X./ Birleşik Krallık (7154/75), 12 Temmuz 1978; L.C.B/ Birleşik Krallık (14/1997/798/1001), 9 Haziran 1998, S36.) AİHM; Kıbrıs/Türkiye davasında, taraf devletlerin nüfusun geneline sağlamakla yükümlü olduğu sağlık bakımını yerine getirmeyerek, bir bireyin hayatını riske sokmaları halinde AİHS'nin 2. maddesi kapsamında</w:t>
      </w:r>
      <w:r>
        <w:rPr>
          <w:spacing w:val="-14"/>
        </w:rPr>
        <w:t> </w:t>
      </w:r>
      <w:r>
        <w:rPr/>
        <w:t>bir sorun ortaya çıkabileceğini kabul</w:t>
      </w:r>
      <w:r>
        <w:rPr>
          <w:spacing w:val="-1"/>
        </w:rPr>
        <w:t> </w:t>
      </w:r>
      <w:r>
        <w:rPr/>
        <w:t>etmiştir. AİHM; Panaitescu/Romanya davasında, kanser hastası olan başvurana</w:t>
      </w:r>
      <w:r>
        <w:rPr>
          <w:spacing w:val="-2"/>
        </w:rPr>
        <w:t> </w:t>
      </w:r>
      <w:r>
        <w:rPr/>
        <w:t>iç hukuk kuralları uyarınca ücretsiz tedavi ve ilaç sağlanması gerekirken, tedavisi için gerekli olan iki özel ilacın kendisine ücretsiz olarak verilmemesi, ayrıca Hamburg'da iki ayda bir uygulanacak deneysel ilaç tedavisi giderlerinin karşılanmaması üzerine yerel mahkemede açtığı iki dava sonucunda, sağlık</w:t>
      </w:r>
      <w:r>
        <w:rPr>
          <w:spacing w:val="40"/>
        </w:rPr>
        <w:t> </w:t>
      </w:r>
      <w:r>
        <w:rPr/>
        <w:t>giderlerinin kamu kurumları tarafından karşılanması ve bu amaçla yaptığı harcamaların tazmin edilmesi yönündeki kararların yetkili makamlar tarafından yerine getirilmemesini, usul yönünden yaşam hakkının korunması yükümlülüğüne aykırı bulmuştur. AİHM'ye göre özellikle insan hakkının korunması zorunluluğu olduğunda, kişiler lehine verilmiş olan mahkeme kararlarının yerine getirilmemesi konusunda taraf devletlerce</w:t>
      </w:r>
      <w:r>
        <w:rPr>
          <w:spacing w:val="40"/>
        </w:rPr>
        <w:t> </w:t>
      </w:r>
      <w:r>
        <w:rPr>
          <w:b/>
        </w:rPr>
        <w:t>mali</w:t>
      </w:r>
      <w:r>
        <w:rPr>
          <w:b/>
          <w:spacing w:val="-15"/>
        </w:rPr>
        <w:t> </w:t>
      </w:r>
      <w:r>
        <w:rPr>
          <w:b/>
        </w:rPr>
        <w:t>kaynakların yetersizliği</w:t>
      </w:r>
      <w:r>
        <w:rPr>
          <w:b/>
          <w:spacing w:val="40"/>
        </w:rPr>
        <w:t> </w:t>
      </w:r>
      <w:r>
        <w:rPr>
          <w:b/>
        </w:rPr>
        <w:t>mazeret olarak ileri sürülemez.</w:t>
      </w:r>
    </w:p>
    <w:p>
      <w:pPr>
        <w:pStyle w:val="BodyText"/>
        <w:spacing w:line="20" w:lineRule="exact"/>
        <w:ind w:left="-3"/>
        <w:rPr>
          <w:sz w:val="2"/>
        </w:rPr>
      </w:pPr>
      <w:r>
        <w:rPr>
          <w:sz w:val="2"/>
        </w:rPr>
        <mc:AlternateContent>
          <mc:Choice Requires="wps">
            <w:drawing>
              <wp:inline distT="0" distB="0" distL="0" distR="0">
                <wp:extent cx="1003300" cy="12700"/>
                <wp:effectExtent l="9525" t="0" r="6350" b="6350"/>
                <wp:docPr id="16" name="Group 16"/>
                <wp:cNvGraphicFramePr>
                  <a:graphicFrameLocks/>
                </wp:cNvGraphicFramePr>
                <a:graphic>
                  <a:graphicData uri="http://schemas.microsoft.com/office/word/2010/wordprocessingGroup">
                    <wpg:wgp>
                      <wpg:cNvPr id="16" name="Group 16"/>
                      <wpg:cNvGrpSpPr/>
                      <wpg:grpSpPr>
                        <a:xfrm>
                          <a:off x="0" y="0"/>
                          <a:ext cx="1003300" cy="12700"/>
                          <a:chExt cx="1003300" cy="12700"/>
                        </a:xfrm>
                      </wpg:grpSpPr>
                      <wps:wsp>
                        <wps:cNvPr id="17" name="Graphic 17"/>
                        <wps:cNvSpPr/>
                        <wps:spPr>
                          <a:xfrm>
                            <a:off x="0" y="6350"/>
                            <a:ext cx="1003300" cy="1270"/>
                          </a:xfrm>
                          <a:custGeom>
                            <a:avLst/>
                            <a:gdLst/>
                            <a:ahLst/>
                            <a:cxnLst/>
                            <a:rect l="l" t="t" r="r" b="b"/>
                            <a:pathLst>
                              <a:path w="1003300" h="0">
                                <a:moveTo>
                                  <a:pt x="0" y="0"/>
                                </a:moveTo>
                                <a:lnTo>
                                  <a:pt x="254000" y="0"/>
                                </a:lnTo>
                              </a:path>
                              <a:path w="1003300" h="0">
                                <a:moveTo>
                                  <a:pt x="266700" y="0"/>
                                </a:moveTo>
                                <a:lnTo>
                                  <a:pt x="304800" y="0"/>
                                </a:lnTo>
                              </a:path>
                              <a:path w="1003300" h="0">
                                <a:moveTo>
                                  <a:pt x="304800" y="0"/>
                                </a:moveTo>
                                <a:lnTo>
                                  <a:pt x="10033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9pt;height:1pt;mso-position-horizontal-relative:char;mso-position-vertical-relative:line" id="docshapegroup14" coordorigin="0,0" coordsize="1580,20">
                <v:shape style="position:absolute;left:0;top:10;width:1580;height:2" id="docshape15" coordorigin="0,10" coordsize="1580,0" path="m0,10l400,10m420,10l480,10m480,10l1580,10e" filled="false" stroked="true" strokeweight="1pt" strokecolor="#000000">
                  <v:path arrowok="t"/>
                  <v:stroke dashstyle="solid"/>
                </v:shape>
              </v:group>
            </w:pict>
          </mc:Fallback>
        </mc:AlternateContent>
      </w:r>
      <w:r>
        <w:rPr>
          <w:sz w:val="2"/>
        </w:rPr>
      </w:r>
    </w:p>
    <w:p>
      <w:pPr>
        <w:pStyle w:val="BodyText"/>
        <w:spacing w:line="242" w:lineRule="auto" w:before="246"/>
        <w:ind w:left="7" w:right="201" w:firstLine="840"/>
        <w:jc w:val="both"/>
      </w:pPr>
      <w:r>
        <w:rPr/>
        <w:t>Dolayısıyla müvekkilin, ölümcül Kistik Fibrozis hastalığının tedavisi için, doktor raporlarında belirtilen TRIKAFTA adlı ilacın kurum tarafından karşılanması Türkiye Cumhuriyeti'nin sosyal bir hukuk devleti olmasının getirdiği zorunluluklardandır. Davalı Sosyal Güvenlik Kurumu'nun söz konusu ilaçların bedellerini ödememesi kabul edilemez bir hata olup, tereddüte yer vermeyecek şekilde Anayasa'ya ve insan haklarına</w:t>
      </w:r>
      <w:r>
        <w:rPr>
          <w:spacing w:val="40"/>
        </w:rPr>
        <w:t> </w:t>
      </w:r>
      <w:r>
        <w:rPr/>
        <w:t>aykırılık teşkil etmektedir.</w:t>
      </w:r>
    </w:p>
    <w:p>
      <w:pPr>
        <w:pStyle w:val="BodyText"/>
        <w:spacing w:before="10"/>
      </w:pPr>
    </w:p>
    <w:p>
      <w:pPr>
        <w:pStyle w:val="ListParagraph"/>
        <w:numPr>
          <w:ilvl w:val="0"/>
          <w:numId w:val="1"/>
        </w:numPr>
        <w:tabs>
          <w:tab w:pos="1140" w:val="left" w:leader="none"/>
        </w:tabs>
        <w:spacing w:line="242" w:lineRule="auto" w:before="0" w:after="0"/>
        <w:ind w:left="7" w:right="200" w:firstLine="840"/>
        <w:jc w:val="both"/>
        <w:rPr>
          <w:sz w:val="24"/>
        </w:rPr>
      </w:pPr>
      <w:r>
        <w:rPr>
          <w:sz w:val="24"/>
        </w:rPr>
        <w:t>Sonuç olarak müvekkilin sağlığına kavuşabilmesi için davaya konu ilacı kullanması gerekliliği, aksi durumda bu ölümcül genetik hastalığa sahip olan müvekkilin durumunun kötüleşeceği, bu ilaçlar ile iyileşme şansının bulunması ancak kullanması elzem nitelikte bulunan ilaç bedellerinin fahiş olması, ilacın ruhsat almış ve tedaviye tam cevap verecek bir muadilinin olmaması, müvekkili takip</w:t>
      </w:r>
      <w:r>
        <w:rPr>
          <w:spacing w:val="-6"/>
          <w:sz w:val="24"/>
        </w:rPr>
        <w:t> </w:t>
      </w:r>
      <w:r>
        <w:rPr>
          <w:sz w:val="24"/>
        </w:rPr>
        <w:t>eden hekimler ve Sağlık Bakanlığı</w:t>
      </w:r>
      <w:r>
        <w:rPr>
          <w:spacing w:val="40"/>
          <w:sz w:val="24"/>
        </w:rPr>
        <w:t> </w:t>
      </w:r>
      <w:r>
        <w:rPr>
          <w:sz w:val="24"/>
        </w:rPr>
        <w:t>tarafından da hastanın</w:t>
      </w:r>
      <w:r>
        <w:rPr>
          <w:spacing w:val="40"/>
          <w:sz w:val="24"/>
        </w:rPr>
        <w:t> </w:t>
      </w:r>
      <w:r>
        <w:rPr>
          <w:sz w:val="24"/>
        </w:rPr>
        <w:t>mezkur</w:t>
      </w:r>
      <w:r>
        <w:rPr>
          <w:spacing w:val="-6"/>
          <w:sz w:val="24"/>
        </w:rPr>
        <w:t> </w:t>
      </w:r>
      <w:r>
        <w:rPr>
          <w:sz w:val="24"/>
        </w:rPr>
        <w:t>ilacı kullanmasının uygun bulunduğu sebepleri ve ilgili Anayasa maddeleri gereğince; T.C. Sosyal Güvenlik</w:t>
      </w:r>
      <w:r>
        <w:rPr>
          <w:spacing w:val="-8"/>
          <w:sz w:val="24"/>
        </w:rPr>
        <w:t> </w:t>
      </w:r>
      <w:r>
        <w:rPr>
          <w:sz w:val="24"/>
        </w:rPr>
        <w:t>Kurumu Başkanlığı</w:t>
      </w:r>
      <w:r>
        <w:rPr>
          <w:spacing w:val="-15"/>
          <w:sz w:val="24"/>
        </w:rPr>
        <w:t> </w:t>
      </w:r>
      <w:r>
        <w:rPr>
          <w:sz w:val="24"/>
        </w:rPr>
        <w:t>X Sosyal</w:t>
      </w:r>
      <w:r>
        <w:rPr>
          <w:spacing w:val="-9"/>
          <w:sz w:val="24"/>
        </w:rPr>
        <w:t> </w:t>
      </w:r>
      <w:r>
        <w:rPr>
          <w:sz w:val="24"/>
        </w:rPr>
        <w:t>Güvenlik</w:t>
      </w:r>
      <w:r>
        <w:rPr>
          <w:spacing w:val="-2"/>
          <w:sz w:val="24"/>
        </w:rPr>
        <w:t> </w:t>
      </w:r>
      <w:r>
        <w:rPr>
          <w:sz w:val="24"/>
        </w:rPr>
        <w:t>Merkezi’nin 11/07/2023</w:t>
      </w:r>
      <w:r>
        <w:rPr>
          <w:spacing w:val="-15"/>
          <w:sz w:val="24"/>
        </w:rPr>
        <w:t> </w:t>
      </w:r>
      <w:r>
        <w:rPr>
          <w:sz w:val="24"/>
        </w:rPr>
        <w:t>tarihli X</w:t>
      </w:r>
      <w:r>
        <w:rPr>
          <w:spacing w:val="-2"/>
          <w:sz w:val="24"/>
        </w:rPr>
        <w:t> </w:t>
      </w:r>
      <w:r>
        <w:rPr>
          <w:sz w:val="24"/>
        </w:rPr>
        <w:t>sayılı işleminin iptali ile müvekkilin tedavisinde kullanılacak ilaçların davalı Kurum tarafından karşılanmasına karar verilmesi gerekmektedir. Bu sebeplerle, müvekkilin tedavisi için kullanma zorunluluğu bulunan mezkur ilacın derhal ve ücretsiz olarak SGK tarafından temin edilmesi için işbu davayı açma zorunluluğumuz hasıl olmuştur.</w:t>
      </w:r>
    </w:p>
    <w:p>
      <w:pPr>
        <w:pStyle w:val="BodyText"/>
        <w:spacing w:before="18"/>
      </w:pPr>
    </w:p>
    <w:p>
      <w:pPr>
        <w:pStyle w:val="BodyText"/>
        <w:spacing w:line="242" w:lineRule="auto"/>
        <w:ind w:left="7" w:right="202"/>
        <w:jc w:val="both"/>
      </w:pPr>
      <w:r>
        <w:rPr>
          <w:b/>
        </w:rPr>
        <w:t>HUKUKİ SEBEPLER :</w:t>
      </w:r>
      <w:r>
        <w:rPr/>
        <w:t>1982 Tarihli T.C. Anayasası, Avrupa Birliği Temel Haklar Bildirgesi m.35, İnsan</w:t>
      </w:r>
      <w:r>
        <w:rPr>
          <w:spacing w:val="-6"/>
        </w:rPr>
        <w:t> </w:t>
      </w:r>
      <w:r>
        <w:rPr/>
        <w:t>Hakları Evrensel Bildirgesi m.25,</w:t>
      </w:r>
      <w:r>
        <w:rPr>
          <w:spacing w:val="-13"/>
        </w:rPr>
        <w:t> </w:t>
      </w:r>
      <w:r>
        <w:rPr/>
        <w:t>4857 sayılı İş Kanunu, HMK, 5510 sayılı</w:t>
      </w:r>
      <w:r>
        <w:rPr>
          <w:spacing w:val="-6"/>
        </w:rPr>
        <w:t> </w:t>
      </w:r>
      <w:r>
        <w:rPr/>
        <w:t>SK, 7036 sayılı Kanun ve ilgili sair mevzuat</w:t>
      </w:r>
      <w:r>
        <w:rPr>
          <w:spacing w:val="40"/>
        </w:rPr>
        <w:t> </w:t>
      </w:r>
      <w:r>
        <w:rPr/>
        <w:t>hükümleri.</w:t>
      </w:r>
    </w:p>
    <w:p>
      <w:pPr>
        <w:pStyle w:val="BodyText"/>
        <w:spacing w:before="8"/>
      </w:pPr>
    </w:p>
    <w:p>
      <w:pPr>
        <w:pStyle w:val="BodyText"/>
        <w:spacing w:line="242" w:lineRule="auto"/>
        <w:ind w:left="7" w:right="202"/>
        <w:jc w:val="both"/>
      </w:pPr>
      <w:r>
        <w:rPr>
          <w:b/>
        </w:rPr>
        <w:t>DELİLLER : -</w:t>
      </w:r>
      <w:r>
        <w:rPr>
          <w:i/>
        </w:rPr>
        <w:t>Karşı tarafın sunacağı delillere karşı delil bildirme hakkımız saklı kalmak</w:t>
      </w:r>
      <w:r>
        <w:rPr>
          <w:i/>
          <w:spacing w:val="40"/>
        </w:rPr>
        <w:t> </w:t>
      </w:r>
      <w:r>
        <w:rPr>
          <w:i/>
        </w:rPr>
        <w:t>kaydıyla- </w:t>
      </w:r>
      <w:r>
        <w:rPr/>
        <w:t>Sağlık Raporları, SGK Kayıtları, Sosyal Güvenlik Kurumu Başkanlığı Ankara Sosyal Güvenlik</w:t>
      </w:r>
      <w:r>
        <w:rPr>
          <w:spacing w:val="-6"/>
        </w:rPr>
        <w:t> </w:t>
      </w:r>
      <w:r>
        <w:rPr/>
        <w:t>İl Müdürlüğü</w:t>
      </w:r>
      <w:r>
        <w:rPr>
          <w:spacing w:val="-8"/>
        </w:rPr>
        <w:t> </w:t>
      </w:r>
      <w:r>
        <w:rPr/>
        <w:t>X</w:t>
      </w:r>
      <w:r>
        <w:rPr>
          <w:spacing w:val="-1"/>
        </w:rPr>
        <w:t> </w:t>
      </w:r>
      <w:r>
        <w:rPr/>
        <w:t>Sosyal</w:t>
      </w:r>
      <w:r>
        <w:rPr>
          <w:spacing w:val="-8"/>
        </w:rPr>
        <w:t> </w:t>
      </w:r>
      <w:r>
        <w:rPr/>
        <w:t>Güvenlik</w:t>
      </w:r>
      <w:r>
        <w:rPr>
          <w:spacing w:val="-1"/>
        </w:rPr>
        <w:t> </w:t>
      </w:r>
      <w:r>
        <w:rPr/>
        <w:t>Merkezi’nin 11/07/2023</w:t>
      </w:r>
      <w:r>
        <w:rPr>
          <w:spacing w:val="-15"/>
        </w:rPr>
        <w:t> </w:t>
      </w:r>
      <w:r>
        <w:rPr/>
        <w:t>tarihli</w:t>
      </w:r>
      <w:r>
        <w:rPr>
          <w:spacing w:val="40"/>
        </w:rPr>
        <w:t> </w:t>
      </w:r>
      <w:r>
        <w:rPr/>
        <w:t>X</w:t>
      </w:r>
      <w:r>
        <w:rPr>
          <w:spacing w:val="-1"/>
        </w:rPr>
        <w:t> </w:t>
      </w:r>
      <w:r>
        <w:rPr/>
        <w:t>sayılı</w:t>
      </w:r>
      <w:r>
        <w:rPr>
          <w:spacing w:val="-8"/>
        </w:rPr>
        <w:t> </w:t>
      </w:r>
      <w:r>
        <w:rPr/>
        <w:t>yazısı, Hastane Kayıtları, Yurt Dışı İlaç Başvurusu, Reçete,</w:t>
      </w:r>
      <w:r>
        <w:rPr>
          <w:spacing w:val="40"/>
        </w:rPr>
        <w:t> </w:t>
      </w:r>
      <w:r>
        <w:rPr/>
        <w:t>İlaç Kullanım ve Hasta Katılım Payından Muaf İlaç Raporu, DNA Test Raporu, Test Sonuçları, Bilirkişi İncelemesi, Tanık, Yargıtay, İstinaf ve Anayasa Mahkemesi Kararları, Yemin, Her Türlü Yasal Delil.</w:t>
      </w:r>
    </w:p>
    <w:p>
      <w:pPr>
        <w:pStyle w:val="BodyText"/>
        <w:spacing w:after="0" w:line="242" w:lineRule="auto"/>
        <w:jc w:val="both"/>
        <w:sectPr>
          <w:pgSz w:w="11910" w:h="16840"/>
          <w:pgMar w:header="0" w:footer="438" w:top="1000" w:bottom="620" w:left="1133" w:right="992"/>
        </w:sectPr>
      </w:pPr>
    </w:p>
    <w:p>
      <w:pPr>
        <w:spacing w:before="78"/>
        <w:ind w:left="7" w:right="0" w:firstLine="0"/>
        <w:jc w:val="left"/>
        <w:rPr>
          <w:sz w:val="24"/>
        </w:rPr>
      </w:pPr>
      <w:r>
        <w:rPr>
          <w:b/>
          <w:sz w:val="24"/>
        </w:rPr>
        <w:t>NETİCE</w:t>
      </w:r>
      <w:r>
        <w:rPr>
          <w:b/>
          <w:spacing w:val="-2"/>
          <w:sz w:val="24"/>
        </w:rPr>
        <w:t> </w:t>
      </w:r>
      <w:r>
        <w:rPr>
          <w:b/>
          <w:sz w:val="24"/>
        </w:rPr>
        <w:t>VE</w:t>
      </w:r>
      <w:r>
        <w:rPr>
          <w:b/>
          <w:spacing w:val="6"/>
          <w:sz w:val="24"/>
        </w:rPr>
        <w:t> </w:t>
      </w:r>
      <w:r>
        <w:rPr>
          <w:b/>
          <w:sz w:val="24"/>
        </w:rPr>
        <w:t>TALEP</w:t>
      </w:r>
      <w:r>
        <w:rPr>
          <w:b/>
          <w:spacing w:val="39"/>
          <w:sz w:val="24"/>
        </w:rPr>
        <w:t>  </w:t>
      </w:r>
      <w:r>
        <w:rPr>
          <w:b/>
          <w:sz w:val="24"/>
        </w:rPr>
        <w:t>: </w:t>
      </w:r>
      <w:r>
        <w:rPr>
          <w:sz w:val="24"/>
        </w:rPr>
        <w:t>Yukarıda</w:t>
      </w:r>
      <w:r>
        <w:rPr>
          <w:spacing w:val="6"/>
          <w:sz w:val="24"/>
        </w:rPr>
        <w:t> </w:t>
      </w:r>
      <w:r>
        <w:rPr>
          <w:sz w:val="24"/>
        </w:rPr>
        <w:t>açıklanan</w:t>
      </w:r>
      <w:r>
        <w:rPr>
          <w:spacing w:val="59"/>
          <w:sz w:val="24"/>
        </w:rPr>
        <w:t> </w:t>
      </w:r>
      <w:r>
        <w:rPr>
          <w:sz w:val="24"/>
        </w:rPr>
        <w:t>ve</w:t>
      </w:r>
      <w:r>
        <w:rPr>
          <w:spacing w:val="-7"/>
          <w:sz w:val="24"/>
        </w:rPr>
        <w:t> </w:t>
      </w:r>
      <w:r>
        <w:rPr>
          <w:sz w:val="24"/>
        </w:rPr>
        <w:t>re’sen</w:t>
      </w:r>
      <w:r>
        <w:rPr>
          <w:spacing w:val="-7"/>
          <w:sz w:val="24"/>
        </w:rPr>
        <w:t> </w:t>
      </w:r>
      <w:r>
        <w:rPr>
          <w:sz w:val="24"/>
        </w:rPr>
        <w:t>gözetilecek</w:t>
      </w:r>
      <w:r>
        <w:rPr>
          <w:spacing w:val="65"/>
          <w:sz w:val="24"/>
        </w:rPr>
        <w:t> </w:t>
      </w:r>
      <w:r>
        <w:rPr>
          <w:sz w:val="24"/>
        </w:rPr>
        <w:t>olan</w:t>
      </w:r>
      <w:r>
        <w:rPr>
          <w:spacing w:val="6"/>
          <w:sz w:val="24"/>
        </w:rPr>
        <w:t> </w:t>
      </w:r>
      <w:r>
        <w:rPr>
          <w:spacing w:val="-2"/>
          <w:sz w:val="24"/>
        </w:rPr>
        <w:t>sebeplerle;</w:t>
      </w:r>
    </w:p>
    <w:p>
      <w:pPr>
        <w:pStyle w:val="BodyText"/>
        <w:spacing w:before="8"/>
      </w:pPr>
    </w:p>
    <w:p>
      <w:pPr>
        <w:pStyle w:val="ListParagraph"/>
        <w:numPr>
          <w:ilvl w:val="0"/>
          <w:numId w:val="2"/>
        </w:numPr>
        <w:tabs>
          <w:tab w:pos="507" w:val="left" w:leader="none"/>
        </w:tabs>
        <w:spacing w:line="242" w:lineRule="auto" w:before="0" w:after="0"/>
        <w:ind w:left="507" w:right="203" w:hanging="340"/>
        <w:jc w:val="both"/>
        <w:rPr>
          <w:sz w:val="24"/>
        </w:rPr>
      </w:pPr>
      <w:r>
        <w:rPr>
          <w:sz w:val="24"/>
        </w:rPr>
        <w:t>T.C. Sosyal</w:t>
      </w:r>
      <w:r>
        <w:rPr>
          <w:spacing w:val="-10"/>
          <w:sz w:val="24"/>
        </w:rPr>
        <w:t> </w:t>
      </w:r>
      <w:r>
        <w:rPr>
          <w:sz w:val="24"/>
        </w:rPr>
        <w:t>Güvenlik Kurumu</w:t>
      </w:r>
      <w:r>
        <w:rPr>
          <w:spacing w:val="-10"/>
          <w:sz w:val="24"/>
        </w:rPr>
        <w:t> </w:t>
      </w:r>
      <w:r>
        <w:rPr>
          <w:sz w:val="24"/>
        </w:rPr>
        <w:t>Başkanlığı</w:t>
      </w:r>
      <w:r>
        <w:rPr>
          <w:spacing w:val="40"/>
          <w:sz w:val="24"/>
        </w:rPr>
        <w:t> </w:t>
      </w:r>
      <w:r>
        <w:rPr>
          <w:sz w:val="24"/>
        </w:rPr>
        <w:t>X Sosyal</w:t>
      </w:r>
      <w:r>
        <w:rPr>
          <w:spacing w:val="-10"/>
          <w:sz w:val="24"/>
        </w:rPr>
        <w:t> </w:t>
      </w:r>
      <w:r>
        <w:rPr>
          <w:sz w:val="24"/>
        </w:rPr>
        <w:t>Güvenlik Merkezi’nin</w:t>
      </w:r>
      <w:r>
        <w:rPr>
          <w:spacing w:val="-15"/>
          <w:sz w:val="24"/>
        </w:rPr>
        <w:t> </w:t>
      </w:r>
      <w:r>
        <w:rPr>
          <w:sz w:val="24"/>
        </w:rPr>
        <w:t>11/07/2023 tarihli X sayılı işleminin</w:t>
      </w:r>
      <w:r>
        <w:rPr>
          <w:spacing w:val="-3"/>
          <w:sz w:val="24"/>
        </w:rPr>
        <w:t> </w:t>
      </w:r>
      <w:r>
        <w:rPr>
          <w:sz w:val="24"/>
        </w:rPr>
        <w:t>iptaline ve müvekkilin tedavisinde kullanılacak “Elexacaftor,</w:t>
      </w:r>
      <w:r>
        <w:rPr>
          <w:spacing w:val="-2"/>
          <w:sz w:val="24"/>
        </w:rPr>
        <w:t> </w:t>
      </w:r>
      <w:r>
        <w:rPr>
          <w:sz w:val="24"/>
        </w:rPr>
        <w:t>Tezacaftor, İvacaftor ve İvacaftor” etken maddeli “Trikafta 84 film tablet” isimli ilaçların müvekkilin tedavisi boyunca davalı Kurum tarafından </w:t>
      </w:r>
      <w:r>
        <w:rPr>
          <w:b/>
          <w:sz w:val="24"/>
        </w:rPr>
        <w:t>kesintisiz ve ücretsiz </w:t>
      </w:r>
      <w:r>
        <w:rPr>
          <w:sz w:val="24"/>
        </w:rPr>
        <w:t>temin edilmesine,</w:t>
      </w:r>
    </w:p>
    <w:p>
      <w:pPr>
        <w:pStyle w:val="ListParagraph"/>
        <w:numPr>
          <w:ilvl w:val="0"/>
          <w:numId w:val="2"/>
        </w:numPr>
        <w:tabs>
          <w:tab w:pos="506" w:val="left" w:leader="none"/>
        </w:tabs>
        <w:spacing w:line="240" w:lineRule="auto" w:before="5" w:after="0"/>
        <w:ind w:left="506" w:right="0" w:hanging="339"/>
        <w:jc w:val="both"/>
        <w:rPr>
          <w:sz w:val="24"/>
        </w:rPr>
      </w:pPr>
      <w:r>
        <w:rPr>
          <w:sz w:val="24"/>
        </w:rPr>
        <w:t>Müvekkile</w:t>
      </w:r>
      <w:r>
        <w:rPr>
          <w:spacing w:val="-1"/>
          <w:sz w:val="24"/>
        </w:rPr>
        <w:t> </w:t>
      </w:r>
      <w:r>
        <w:rPr>
          <w:sz w:val="24"/>
        </w:rPr>
        <w:t>ait</w:t>
      </w:r>
      <w:r>
        <w:rPr>
          <w:spacing w:val="-1"/>
          <w:sz w:val="24"/>
        </w:rPr>
        <w:t> </w:t>
      </w:r>
      <w:r>
        <w:rPr>
          <w:sz w:val="24"/>
        </w:rPr>
        <w:t>tedavi</w:t>
      </w:r>
      <w:r>
        <w:rPr>
          <w:spacing w:val="-8"/>
          <w:sz w:val="24"/>
        </w:rPr>
        <w:t> </w:t>
      </w:r>
      <w:r>
        <w:rPr>
          <w:sz w:val="24"/>
        </w:rPr>
        <w:t>kayıtlarının</w:t>
      </w:r>
      <w:r>
        <w:rPr>
          <w:spacing w:val="72"/>
          <w:sz w:val="24"/>
        </w:rPr>
        <w:t> </w:t>
      </w:r>
      <w:r>
        <w:rPr>
          <w:sz w:val="24"/>
        </w:rPr>
        <w:t>X</w:t>
      </w:r>
      <w:r>
        <w:rPr>
          <w:spacing w:val="-14"/>
          <w:sz w:val="24"/>
        </w:rPr>
        <w:t> </w:t>
      </w:r>
      <w:r>
        <w:rPr>
          <w:sz w:val="24"/>
        </w:rPr>
        <w:t>Hastanesinden</w:t>
      </w:r>
      <w:r>
        <w:rPr>
          <w:spacing w:val="-1"/>
          <w:sz w:val="24"/>
        </w:rPr>
        <w:t> </w:t>
      </w:r>
      <w:r>
        <w:rPr>
          <w:spacing w:val="-2"/>
          <w:sz w:val="24"/>
        </w:rPr>
        <w:t>celbine,</w:t>
      </w:r>
    </w:p>
    <w:p>
      <w:pPr>
        <w:pStyle w:val="ListParagraph"/>
        <w:numPr>
          <w:ilvl w:val="0"/>
          <w:numId w:val="2"/>
        </w:numPr>
        <w:tabs>
          <w:tab w:pos="507" w:val="left" w:leader="none"/>
        </w:tabs>
        <w:spacing w:line="242" w:lineRule="auto" w:before="4" w:after="0"/>
        <w:ind w:left="507" w:right="207" w:hanging="340"/>
        <w:jc w:val="both"/>
        <w:rPr>
          <w:b/>
          <w:i/>
          <w:sz w:val="24"/>
        </w:rPr>
      </w:pPr>
      <w:r>
        <w:rPr>
          <w:sz w:val="24"/>
        </w:rPr>
        <w:t>Yargılama</w:t>
      </w:r>
      <w:r>
        <w:rPr>
          <w:spacing w:val="-10"/>
          <w:sz w:val="24"/>
        </w:rPr>
        <w:t> </w:t>
      </w:r>
      <w:r>
        <w:rPr>
          <w:sz w:val="24"/>
        </w:rPr>
        <w:t>giderleri</w:t>
      </w:r>
      <w:r>
        <w:rPr>
          <w:spacing w:val="-2"/>
          <w:sz w:val="24"/>
        </w:rPr>
        <w:t> </w:t>
      </w:r>
      <w:r>
        <w:rPr>
          <w:sz w:val="24"/>
        </w:rPr>
        <w:t>ve vekâlet</w:t>
      </w:r>
      <w:r>
        <w:rPr>
          <w:spacing w:val="-2"/>
          <w:sz w:val="24"/>
        </w:rPr>
        <w:t> </w:t>
      </w:r>
      <w:r>
        <w:rPr>
          <w:sz w:val="24"/>
        </w:rPr>
        <w:t>ücretinin</w:t>
      </w:r>
      <w:r>
        <w:rPr>
          <w:spacing w:val="-2"/>
          <w:sz w:val="24"/>
        </w:rPr>
        <w:t> </w:t>
      </w:r>
      <w:r>
        <w:rPr>
          <w:sz w:val="24"/>
        </w:rPr>
        <w:t>davalı</w:t>
      </w:r>
      <w:r>
        <w:rPr>
          <w:spacing w:val="-15"/>
          <w:sz w:val="24"/>
        </w:rPr>
        <w:t> </w:t>
      </w:r>
      <w:r>
        <w:rPr>
          <w:sz w:val="24"/>
        </w:rPr>
        <w:t>Kuruma</w:t>
      </w:r>
      <w:r>
        <w:rPr>
          <w:spacing w:val="24"/>
          <w:sz w:val="24"/>
        </w:rPr>
        <w:t> </w:t>
      </w:r>
      <w:r>
        <w:rPr>
          <w:sz w:val="24"/>
        </w:rPr>
        <w:t>yükletilmesine</w:t>
      </w:r>
      <w:r>
        <w:rPr>
          <w:spacing w:val="-15"/>
          <w:sz w:val="24"/>
        </w:rPr>
        <w:t> </w:t>
      </w:r>
      <w:r>
        <w:rPr>
          <w:sz w:val="24"/>
        </w:rPr>
        <w:t>karar verilmesini</w:t>
      </w:r>
      <w:r>
        <w:rPr>
          <w:spacing w:val="-9"/>
          <w:sz w:val="24"/>
        </w:rPr>
        <w:t> </w:t>
      </w:r>
      <w:r>
        <w:rPr>
          <w:sz w:val="24"/>
        </w:rPr>
        <w:t>vekil eden adına arz ve talep ederiz. </w:t>
      </w:r>
      <w:r>
        <w:rPr>
          <w:b/>
          <w:i/>
          <w:sz w:val="24"/>
        </w:rPr>
        <w:t>Tarih</w:t>
      </w:r>
    </w:p>
    <w:p>
      <w:pPr>
        <w:pStyle w:val="BodyText"/>
        <w:spacing w:before="6"/>
        <w:rPr>
          <w:b/>
          <w:i/>
        </w:rPr>
      </w:pPr>
    </w:p>
    <w:p>
      <w:pPr>
        <w:pStyle w:val="Heading1"/>
        <w:spacing w:line="242" w:lineRule="auto" w:before="1"/>
        <w:ind w:left="7227" w:right="130" w:firstLine="1040"/>
        <w:jc w:val="right"/>
      </w:pPr>
      <w:r>
        <w:rPr/>
        <w:t>Davacı</w:t>
      </w:r>
      <w:r>
        <w:rPr>
          <w:spacing w:val="-15"/>
        </w:rPr>
        <w:t> </w:t>
      </w:r>
      <w:r>
        <w:rPr/>
        <w:t>Vekili Av.</w:t>
      </w:r>
      <w:r>
        <w:rPr>
          <w:spacing w:val="6"/>
        </w:rPr>
        <w:t> </w:t>
      </w:r>
      <w:r>
        <w:rPr/>
        <w:t>Tülay</w:t>
      </w:r>
      <w:r>
        <w:rPr>
          <w:spacing w:val="-1"/>
        </w:rPr>
        <w:t> </w:t>
      </w:r>
      <w:r>
        <w:rPr/>
        <w:t>Hazal</w:t>
      </w:r>
      <w:r>
        <w:rPr>
          <w:spacing w:val="-1"/>
        </w:rPr>
        <w:t> </w:t>
      </w:r>
      <w:r>
        <w:rPr>
          <w:spacing w:val="-4"/>
        </w:rPr>
        <w:t>ÖZER</w:t>
      </w:r>
    </w:p>
    <w:p>
      <w:pPr>
        <w:pStyle w:val="BodyText"/>
        <w:rPr>
          <w:b/>
        </w:rPr>
      </w:pPr>
    </w:p>
    <w:p>
      <w:pPr>
        <w:pStyle w:val="BodyText"/>
        <w:rPr>
          <w:b/>
        </w:rPr>
      </w:pPr>
    </w:p>
    <w:p>
      <w:pPr>
        <w:pStyle w:val="BodyText"/>
        <w:spacing w:before="14"/>
        <w:rPr>
          <w:b/>
        </w:rPr>
      </w:pPr>
    </w:p>
    <w:p>
      <w:pPr>
        <w:spacing w:before="0"/>
        <w:ind w:left="7" w:right="0" w:firstLine="0"/>
        <w:jc w:val="left"/>
        <w:rPr>
          <w:b/>
          <w:sz w:val="24"/>
        </w:rPr>
      </w:pPr>
      <w:r>
        <w:rPr>
          <w:b/>
          <w:spacing w:val="-4"/>
          <w:sz w:val="24"/>
        </w:rPr>
        <w:t>EKİ:</w:t>
      </w:r>
    </w:p>
    <w:p>
      <w:pPr>
        <w:pStyle w:val="ListParagraph"/>
        <w:numPr>
          <w:ilvl w:val="0"/>
          <w:numId w:val="3"/>
        </w:numPr>
        <w:tabs>
          <w:tab w:pos="506" w:val="left" w:leader="none"/>
        </w:tabs>
        <w:spacing w:line="240" w:lineRule="auto" w:before="4" w:after="0"/>
        <w:ind w:left="506" w:right="0" w:hanging="339"/>
        <w:jc w:val="left"/>
        <w:rPr>
          <w:sz w:val="24"/>
        </w:rPr>
      </w:pPr>
      <w:r>
        <w:rPr>
          <w:spacing w:val="-2"/>
          <w:sz w:val="24"/>
        </w:rPr>
        <w:t>Reçete</w:t>
      </w:r>
    </w:p>
    <w:p>
      <w:pPr>
        <w:pStyle w:val="ListParagraph"/>
        <w:numPr>
          <w:ilvl w:val="0"/>
          <w:numId w:val="3"/>
        </w:numPr>
        <w:tabs>
          <w:tab w:pos="506" w:val="left" w:leader="none"/>
        </w:tabs>
        <w:spacing w:line="240" w:lineRule="auto" w:before="4" w:after="0"/>
        <w:ind w:left="506" w:right="0" w:hanging="339"/>
        <w:jc w:val="left"/>
        <w:rPr>
          <w:sz w:val="24"/>
        </w:rPr>
      </w:pPr>
      <w:r>
        <w:rPr>
          <w:sz w:val="24"/>
        </w:rPr>
        <w:t>Yurt</w:t>
      </w:r>
      <w:r>
        <w:rPr>
          <w:spacing w:val="-1"/>
          <w:sz w:val="24"/>
        </w:rPr>
        <w:t> </w:t>
      </w:r>
      <w:r>
        <w:rPr>
          <w:sz w:val="24"/>
        </w:rPr>
        <w:t>Dışı</w:t>
      </w:r>
      <w:r>
        <w:rPr>
          <w:spacing w:val="-1"/>
          <w:sz w:val="24"/>
        </w:rPr>
        <w:t> </w:t>
      </w:r>
      <w:r>
        <w:rPr>
          <w:sz w:val="24"/>
        </w:rPr>
        <w:t>İlaç</w:t>
      </w:r>
      <w:r>
        <w:rPr>
          <w:spacing w:val="-1"/>
          <w:sz w:val="24"/>
        </w:rPr>
        <w:t> </w:t>
      </w:r>
      <w:r>
        <w:rPr>
          <w:spacing w:val="-2"/>
          <w:sz w:val="24"/>
        </w:rPr>
        <w:t>Başvurusu</w:t>
      </w:r>
    </w:p>
    <w:p>
      <w:pPr>
        <w:pStyle w:val="ListParagraph"/>
        <w:numPr>
          <w:ilvl w:val="0"/>
          <w:numId w:val="3"/>
        </w:numPr>
        <w:tabs>
          <w:tab w:pos="506" w:val="left" w:leader="none"/>
        </w:tabs>
        <w:spacing w:line="240" w:lineRule="auto" w:before="4" w:after="0"/>
        <w:ind w:left="506" w:right="0" w:hanging="339"/>
        <w:jc w:val="left"/>
        <w:rPr>
          <w:sz w:val="24"/>
        </w:rPr>
      </w:pPr>
      <w:r>
        <w:rPr>
          <w:sz w:val="24"/>
        </w:rPr>
        <w:t>İlaç</w:t>
      </w:r>
      <w:r>
        <w:rPr>
          <w:spacing w:val="-1"/>
          <w:sz w:val="24"/>
        </w:rPr>
        <w:t> </w:t>
      </w:r>
      <w:r>
        <w:rPr>
          <w:sz w:val="24"/>
        </w:rPr>
        <w:t>Kullanım</w:t>
      </w:r>
      <w:r>
        <w:rPr>
          <w:spacing w:val="-8"/>
          <w:sz w:val="24"/>
        </w:rPr>
        <w:t> </w:t>
      </w:r>
      <w:r>
        <w:rPr>
          <w:sz w:val="24"/>
        </w:rPr>
        <w:t>Ve</w:t>
      </w:r>
      <w:r>
        <w:rPr>
          <w:spacing w:val="-1"/>
          <w:sz w:val="24"/>
        </w:rPr>
        <w:t> </w:t>
      </w:r>
      <w:r>
        <w:rPr>
          <w:sz w:val="24"/>
        </w:rPr>
        <w:t>Hasta</w:t>
      </w:r>
      <w:r>
        <w:rPr>
          <w:spacing w:val="12"/>
          <w:sz w:val="24"/>
        </w:rPr>
        <w:t> </w:t>
      </w:r>
      <w:r>
        <w:rPr>
          <w:sz w:val="24"/>
        </w:rPr>
        <w:t>Katılım</w:t>
      </w:r>
      <w:r>
        <w:rPr>
          <w:spacing w:val="-15"/>
          <w:sz w:val="24"/>
        </w:rPr>
        <w:t> </w:t>
      </w:r>
      <w:r>
        <w:rPr>
          <w:sz w:val="24"/>
        </w:rPr>
        <w:t>Payından</w:t>
      </w:r>
      <w:r>
        <w:rPr>
          <w:spacing w:val="6"/>
          <w:sz w:val="24"/>
        </w:rPr>
        <w:t> </w:t>
      </w:r>
      <w:r>
        <w:rPr>
          <w:sz w:val="24"/>
        </w:rPr>
        <w:t>Muaf</w:t>
      </w:r>
      <w:r>
        <w:rPr>
          <w:spacing w:val="-1"/>
          <w:sz w:val="24"/>
        </w:rPr>
        <w:t> </w:t>
      </w:r>
      <w:r>
        <w:rPr>
          <w:sz w:val="24"/>
        </w:rPr>
        <w:t>İlaç</w:t>
      </w:r>
      <w:r>
        <w:rPr>
          <w:spacing w:val="-1"/>
          <w:sz w:val="24"/>
        </w:rPr>
        <w:t> </w:t>
      </w:r>
      <w:r>
        <w:rPr>
          <w:spacing w:val="-2"/>
          <w:sz w:val="24"/>
        </w:rPr>
        <w:t>Raporu</w:t>
      </w:r>
    </w:p>
    <w:p>
      <w:pPr>
        <w:pStyle w:val="ListParagraph"/>
        <w:numPr>
          <w:ilvl w:val="0"/>
          <w:numId w:val="3"/>
        </w:numPr>
        <w:tabs>
          <w:tab w:pos="506" w:val="left" w:leader="none"/>
        </w:tabs>
        <w:spacing w:line="240" w:lineRule="auto" w:before="4" w:after="0"/>
        <w:ind w:left="506" w:right="0" w:hanging="339"/>
        <w:jc w:val="left"/>
        <w:rPr>
          <w:sz w:val="24"/>
        </w:rPr>
      </w:pPr>
      <w:r>
        <w:rPr>
          <w:sz w:val="24"/>
        </w:rPr>
        <w:t>X</w:t>
      </w:r>
      <w:r>
        <w:rPr>
          <w:spacing w:val="6"/>
          <w:sz w:val="24"/>
        </w:rPr>
        <w:t> </w:t>
      </w:r>
      <w:r>
        <w:rPr>
          <w:sz w:val="24"/>
        </w:rPr>
        <w:t>Sağlık</w:t>
      </w:r>
      <w:r>
        <w:rPr>
          <w:spacing w:val="-14"/>
          <w:sz w:val="24"/>
        </w:rPr>
        <w:t> </w:t>
      </w:r>
      <w:r>
        <w:rPr>
          <w:sz w:val="24"/>
        </w:rPr>
        <w:t>Kurulu</w:t>
      </w:r>
      <w:r>
        <w:rPr>
          <w:spacing w:val="-1"/>
          <w:sz w:val="24"/>
        </w:rPr>
        <w:t> </w:t>
      </w:r>
      <w:r>
        <w:rPr>
          <w:sz w:val="24"/>
        </w:rPr>
        <w:t>Raporu,</w:t>
      </w:r>
      <w:r>
        <w:rPr>
          <w:spacing w:val="13"/>
          <w:sz w:val="24"/>
        </w:rPr>
        <w:t> </w:t>
      </w:r>
      <w:r>
        <w:rPr>
          <w:sz w:val="24"/>
        </w:rPr>
        <w:t>DNA</w:t>
      </w:r>
      <w:r>
        <w:rPr>
          <w:spacing w:val="-1"/>
          <w:sz w:val="24"/>
        </w:rPr>
        <w:t> </w:t>
      </w:r>
      <w:r>
        <w:rPr>
          <w:sz w:val="24"/>
        </w:rPr>
        <w:t>Test</w:t>
      </w:r>
      <w:r>
        <w:rPr>
          <w:spacing w:val="-14"/>
          <w:sz w:val="24"/>
        </w:rPr>
        <w:t> </w:t>
      </w:r>
      <w:r>
        <w:rPr>
          <w:sz w:val="24"/>
        </w:rPr>
        <w:t>Raporu</w:t>
      </w:r>
      <w:r>
        <w:rPr>
          <w:spacing w:val="13"/>
          <w:sz w:val="24"/>
        </w:rPr>
        <w:t> </w:t>
      </w:r>
      <w:r>
        <w:rPr>
          <w:sz w:val="24"/>
        </w:rPr>
        <w:t>ve</w:t>
      </w:r>
      <w:r>
        <w:rPr>
          <w:spacing w:val="-7"/>
          <w:sz w:val="24"/>
        </w:rPr>
        <w:t> </w:t>
      </w:r>
      <w:r>
        <w:rPr>
          <w:sz w:val="24"/>
        </w:rPr>
        <w:t>Hasta</w:t>
      </w:r>
      <w:r>
        <w:rPr>
          <w:spacing w:val="-8"/>
          <w:sz w:val="24"/>
        </w:rPr>
        <w:t> </w:t>
      </w:r>
      <w:r>
        <w:rPr>
          <w:spacing w:val="-2"/>
          <w:sz w:val="24"/>
        </w:rPr>
        <w:t>Anamnezi</w:t>
      </w:r>
    </w:p>
    <w:p>
      <w:pPr>
        <w:pStyle w:val="ListParagraph"/>
        <w:numPr>
          <w:ilvl w:val="0"/>
          <w:numId w:val="3"/>
        </w:numPr>
        <w:tabs>
          <w:tab w:pos="507" w:val="left" w:leader="none"/>
        </w:tabs>
        <w:spacing w:line="242" w:lineRule="auto" w:before="4" w:after="0"/>
        <w:ind w:left="507" w:right="777" w:hanging="340"/>
        <w:jc w:val="left"/>
        <w:rPr>
          <w:sz w:val="24"/>
        </w:rPr>
      </w:pPr>
      <w:r>
        <w:rPr>
          <w:sz w:val="24"/>
        </w:rPr>
        <w:t>Sosyal</w:t>
      </w:r>
      <w:r>
        <w:rPr>
          <w:spacing w:val="-5"/>
          <w:sz w:val="24"/>
        </w:rPr>
        <w:t> </w:t>
      </w:r>
      <w:r>
        <w:rPr>
          <w:sz w:val="24"/>
        </w:rPr>
        <w:t>Güvenlik Kurumu</w:t>
      </w:r>
      <w:r>
        <w:rPr>
          <w:spacing w:val="-4"/>
          <w:sz w:val="24"/>
        </w:rPr>
        <w:t> </w:t>
      </w:r>
      <w:r>
        <w:rPr>
          <w:sz w:val="24"/>
        </w:rPr>
        <w:t>Başkanlığı</w:t>
      </w:r>
      <w:r>
        <w:rPr>
          <w:spacing w:val="-11"/>
          <w:sz w:val="24"/>
        </w:rPr>
        <w:t> </w:t>
      </w:r>
      <w:r>
        <w:rPr>
          <w:sz w:val="24"/>
        </w:rPr>
        <w:t>X Sağlık</w:t>
      </w:r>
      <w:r>
        <w:rPr>
          <w:spacing w:val="-15"/>
          <w:sz w:val="24"/>
        </w:rPr>
        <w:t> </w:t>
      </w:r>
      <w:r>
        <w:rPr>
          <w:sz w:val="24"/>
        </w:rPr>
        <w:t>Sosyal</w:t>
      </w:r>
      <w:r>
        <w:rPr>
          <w:spacing w:val="-4"/>
          <w:sz w:val="24"/>
        </w:rPr>
        <w:t> </w:t>
      </w:r>
      <w:r>
        <w:rPr>
          <w:sz w:val="24"/>
        </w:rPr>
        <w:t>Güvenlik Merkezi’nin</w:t>
      </w:r>
      <w:r>
        <w:rPr>
          <w:spacing w:val="-11"/>
          <w:sz w:val="24"/>
        </w:rPr>
        <w:t> </w:t>
      </w:r>
      <w:r>
        <w:rPr>
          <w:sz w:val="24"/>
        </w:rPr>
        <w:t>11/07/2023 tarihli</w:t>
      </w:r>
      <w:r>
        <w:rPr>
          <w:spacing w:val="40"/>
          <w:sz w:val="24"/>
        </w:rPr>
        <w:t> </w:t>
      </w:r>
      <w:r>
        <w:rPr>
          <w:sz w:val="24"/>
        </w:rPr>
        <w:t>X sayılı yazısı</w:t>
      </w:r>
    </w:p>
    <w:p>
      <w:pPr>
        <w:pStyle w:val="ListParagraph"/>
        <w:numPr>
          <w:ilvl w:val="0"/>
          <w:numId w:val="3"/>
        </w:numPr>
        <w:tabs>
          <w:tab w:pos="506" w:val="left" w:leader="none"/>
        </w:tabs>
        <w:spacing w:line="240" w:lineRule="auto" w:before="3" w:after="0"/>
        <w:ind w:left="506" w:right="0" w:hanging="339"/>
        <w:jc w:val="left"/>
        <w:rPr>
          <w:sz w:val="24"/>
        </w:rPr>
      </w:pPr>
      <w:r>
        <w:rPr>
          <w:spacing w:val="-2"/>
          <w:sz w:val="24"/>
        </w:rPr>
        <w:t>Vekaletname</w:t>
      </w:r>
    </w:p>
    <w:sectPr>
      <w:pgSz w:w="11910" w:h="16840"/>
      <w:pgMar w:header="0" w:footer="438" w:top="1280" w:bottom="620" w:left="1133"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25888">
          <wp:simplePos x="0" y="0"/>
          <wp:positionH relativeFrom="page">
            <wp:posOffset>3687190</wp:posOffset>
          </wp:positionH>
          <wp:positionV relativeFrom="page">
            <wp:posOffset>10286746</wp:posOffset>
          </wp:positionV>
          <wp:extent cx="183387" cy="103632"/>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 cstate="print"/>
                  <a:stretch>
                    <a:fillRect/>
                  </a:stretch>
                </pic:blipFill>
                <pic:spPr>
                  <a:xfrm>
                    <a:off x="0" y="0"/>
                    <a:ext cx="183387" cy="103632"/>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07" w:hanging="34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428" w:hanging="340"/>
      </w:pPr>
      <w:rPr>
        <w:rFonts w:hint="default"/>
        <w:lang w:val="tr-TR" w:eastAsia="en-US" w:bidi="ar-SA"/>
      </w:rPr>
    </w:lvl>
    <w:lvl w:ilvl="2">
      <w:start w:val="0"/>
      <w:numFmt w:val="bullet"/>
      <w:lvlText w:val="•"/>
      <w:lvlJc w:val="left"/>
      <w:pPr>
        <w:ind w:left="2356" w:hanging="340"/>
      </w:pPr>
      <w:rPr>
        <w:rFonts w:hint="default"/>
        <w:lang w:val="tr-TR" w:eastAsia="en-US" w:bidi="ar-SA"/>
      </w:rPr>
    </w:lvl>
    <w:lvl w:ilvl="3">
      <w:start w:val="0"/>
      <w:numFmt w:val="bullet"/>
      <w:lvlText w:val="•"/>
      <w:lvlJc w:val="left"/>
      <w:pPr>
        <w:ind w:left="3284" w:hanging="340"/>
      </w:pPr>
      <w:rPr>
        <w:rFonts w:hint="default"/>
        <w:lang w:val="tr-TR" w:eastAsia="en-US" w:bidi="ar-SA"/>
      </w:rPr>
    </w:lvl>
    <w:lvl w:ilvl="4">
      <w:start w:val="0"/>
      <w:numFmt w:val="bullet"/>
      <w:lvlText w:val="•"/>
      <w:lvlJc w:val="left"/>
      <w:pPr>
        <w:ind w:left="4212" w:hanging="340"/>
      </w:pPr>
      <w:rPr>
        <w:rFonts w:hint="default"/>
        <w:lang w:val="tr-TR" w:eastAsia="en-US" w:bidi="ar-SA"/>
      </w:rPr>
    </w:lvl>
    <w:lvl w:ilvl="5">
      <w:start w:val="0"/>
      <w:numFmt w:val="bullet"/>
      <w:lvlText w:val="•"/>
      <w:lvlJc w:val="left"/>
      <w:pPr>
        <w:ind w:left="5140" w:hanging="340"/>
      </w:pPr>
      <w:rPr>
        <w:rFonts w:hint="default"/>
        <w:lang w:val="tr-TR" w:eastAsia="en-US" w:bidi="ar-SA"/>
      </w:rPr>
    </w:lvl>
    <w:lvl w:ilvl="6">
      <w:start w:val="0"/>
      <w:numFmt w:val="bullet"/>
      <w:lvlText w:val="•"/>
      <w:lvlJc w:val="left"/>
      <w:pPr>
        <w:ind w:left="6068" w:hanging="340"/>
      </w:pPr>
      <w:rPr>
        <w:rFonts w:hint="default"/>
        <w:lang w:val="tr-TR" w:eastAsia="en-US" w:bidi="ar-SA"/>
      </w:rPr>
    </w:lvl>
    <w:lvl w:ilvl="7">
      <w:start w:val="0"/>
      <w:numFmt w:val="bullet"/>
      <w:lvlText w:val="•"/>
      <w:lvlJc w:val="left"/>
      <w:pPr>
        <w:ind w:left="6996" w:hanging="340"/>
      </w:pPr>
      <w:rPr>
        <w:rFonts w:hint="default"/>
        <w:lang w:val="tr-TR" w:eastAsia="en-US" w:bidi="ar-SA"/>
      </w:rPr>
    </w:lvl>
    <w:lvl w:ilvl="8">
      <w:start w:val="0"/>
      <w:numFmt w:val="bullet"/>
      <w:lvlText w:val="•"/>
      <w:lvlJc w:val="left"/>
      <w:pPr>
        <w:ind w:left="7924" w:hanging="340"/>
      </w:pPr>
      <w:rPr>
        <w:rFonts w:hint="default"/>
        <w:lang w:val="tr-TR" w:eastAsia="en-US" w:bidi="ar-SA"/>
      </w:rPr>
    </w:lvl>
  </w:abstractNum>
  <w:abstractNum w:abstractNumId="1">
    <w:multiLevelType w:val="hybridMultilevel"/>
    <w:lvl w:ilvl="0">
      <w:start w:val="1"/>
      <w:numFmt w:val="decimal"/>
      <w:lvlText w:val="%1-"/>
      <w:lvlJc w:val="left"/>
      <w:pPr>
        <w:ind w:left="507" w:hanging="34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428" w:hanging="340"/>
      </w:pPr>
      <w:rPr>
        <w:rFonts w:hint="default"/>
        <w:lang w:val="tr-TR" w:eastAsia="en-US" w:bidi="ar-SA"/>
      </w:rPr>
    </w:lvl>
    <w:lvl w:ilvl="2">
      <w:start w:val="0"/>
      <w:numFmt w:val="bullet"/>
      <w:lvlText w:val="•"/>
      <w:lvlJc w:val="left"/>
      <w:pPr>
        <w:ind w:left="2356" w:hanging="340"/>
      </w:pPr>
      <w:rPr>
        <w:rFonts w:hint="default"/>
        <w:lang w:val="tr-TR" w:eastAsia="en-US" w:bidi="ar-SA"/>
      </w:rPr>
    </w:lvl>
    <w:lvl w:ilvl="3">
      <w:start w:val="0"/>
      <w:numFmt w:val="bullet"/>
      <w:lvlText w:val="•"/>
      <w:lvlJc w:val="left"/>
      <w:pPr>
        <w:ind w:left="3284" w:hanging="340"/>
      </w:pPr>
      <w:rPr>
        <w:rFonts w:hint="default"/>
        <w:lang w:val="tr-TR" w:eastAsia="en-US" w:bidi="ar-SA"/>
      </w:rPr>
    </w:lvl>
    <w:lvl w:ilvl="4">
      <w:start w:val="0"/>
      <w:numFmt w:val="bullet"/>
      <w:lvlText w:val="•"/>
      <w:lvlJc w:val="left"/>
      <w:pPr>
        <w:ind w:left="4212" w:hanging="340"/>
      </w:pPr>
      <w:rPr>
        <w:rFonts w:hint="default"/>
        <w:lang w:val="tr-TR" w:eastAsia="en-US" w:bidi="ar-SA"/>
      </w:rPr>
    </w:lvl>
    <w:lvl w:ilvl="5">
      <w:start w:val="0"/>
      <w:numFmt w:val="bullet"/>
      <w:lvlText w:val="•"/>
      <w:lvlJc w:val="left"/>
      <w:pPr>
        <w:ind w:left="5140" w:hanging="340"/>
      </w:pPr>
      <w:rPr>
        <w:rFonts w:hint="default"/>
        <w:lang w:val="tr-TR" w:eastAsia="en-US" w:bidi="ar-SA"/>
      </w:rPr>
    </w:lvl>
    <w:lvl w:ilvl="6">
      <w:start w:val="0"/>
      <w:numFmt w:val="bullet"/>
      <w:lvlText w:val="•"/>
      <w:lvlJc w:val="left"/>
      <w:pPr>
        <w:ind w:left="6068" w:hanging="340"/>
      </w:pPr>
      <w:rPr>
        <w:rFonts w:hint="default"/>
        <w:lang w:val="tr-TR" w:eastAsia="en-US" w:bidi="ar-SA"/>
      </w:rPr>
    </w:lvl>
    <w:lvl w:ilvl="7">
      <w:start w:val="0"/>
      <w:numFmt w:val="bullet"/>
      <w:lvlText w:val="•"/>
      <w:lvlJc w:val="left"/>
      <w:pPr>
        <w:ind w:left="6996" w:hanging="340"/>
      </w:pPr>
      <w:rPr>
        <w:rFonts w:hint="default"/>
        <w:lang w:val="tr-TR" w:eastAsia="en-US" w:bidi="ar-SA"/>
      </w:rPr>
    </w:lvl>
    <w:lvl w:ilvl="8">
      <w:start w:val="0"/>
      <w:numFmt w:val="bullet"/>
      <w:lvlText w:val="•"/>
      <w:lvlJc w:val="left"/>
      <w:pPr>
        <w:ind w:left="7924" w:hanging="340"/>
      </w:pPr>
      <w:rPr>
        <w:rFonts w:hint="default"/>
        <w:lang w:val="tr-TR" w:eastAsia="en-US" w:bidi="ar-SA"/>
      </w:rPr>
    </w:lvl>
  </w:abstractNum>
  <w:abstractNum w:abstractNumId="0">
    <w:multiLevelType w:val="hybridMultilevel"/>
    <w:lvl w:ilvl="0">
      <w:start w:val="1"/>
      <w:numFmt w:val="decimal"/>
      <w:lvlText w:val="%1)"/>
      <w:lvlJc w:val="left"/>
      <w:pPr>
        <w:ind w:left="7" w:hanging="335"/>
        <w:jc w:val="left"/>
      </w:pPr>
      <w:rPr>
        <w:rFonts w:hint="default" w:ascii="Times New Roman" w:hAnsi="Times New Roman" w:eastAsia="Times New Roman" w:cs="Times New Roman"/>
        <w:b/>
        <w:bCs/>
        <w:i w:val="0"/>
        <w:iCs w:val="0"/>
        <w:spacing w:val="0"/>
        <w:w w:val="100"/>
        <w:sz w:val="24"/>
        <w:szCs w:val="24"/>
        <w:lang w:val="tr-TR" w:eastAsia="en-US" w:bidi="ar-SA"/>
      </w:rPr>
    </w:lvl>
    <w:lvl w:ilvl="1">
      <w:start w:val="0"/>
      <w:numFmt w:val="bullet"/>
      <w:lvlText w:val="•"/>
      <w:lvlJc w:val="left"/>
      <w:pPr>
        <w:ind w:left="978" w:hanging="335"/>
      </w:pPr>
      <w:rPr>
        <w:rFonts w:hint="default"/>
        <w:lang w:val="tr-TR" w:eastAsia="en-US" w:bidi="ar-SA"/>
      </w:rPr>
    </w:lvl>
    <w:lvl w:ilvl="2">
      <w:start w:val="0"/>
      <w:numFmt w:val="bullet"/>
      <w:lvlText w:val="•"/>
      <w:lvlJc w:val="left"/>
      <w:pPr>
        <w:ind w:left="1956" w:hanging="335"/>
      </w:pPr>
      <w:rPr>
        <w:rFonts w:hint="default"/>
        <w:lang w:val="tr-TR" w:eastAsia="en-US" w:bidi="ar-SA"/>
      </w:rPr>
    </w:lvl>
    <w:lvl w:ilvl="3">
      <w:start w:val="0"/>
      <w:numFmt w:val="bullet"/>
      <w:lvlText w:val="•"/>
      <w:lvlJc w:val="left"/>
      <w:pPr>
        <w:ind w:left="2934" w:hanging="335"/>
      </w:pPr>
      <w:rPr>
        <w:rFonts w:hint="default"/>
        <w:lang w:val="tr-TR" w:eastAsia="en-US" w:bidi="ar-SA"/>
      </w:rPr>
    </w:lvl>
    <w:lvl w:ilvl="4">
      <w:start w:val="0"/>
      <w:numFmt w:val="bullet"/>
      <w:lvlText w:val="•"/>
      <w:lvlJc w:val="left"/>
      <w:pPr>
        <w:ind w:left="3912" w:hanging="335"/>
      </w:pPr>
      <w:rPr>
        <w:rFonts w:hint="default"/>
        <w:lang w:val="tr-TR" w:eastAsia="en-US" w:bidi="ar-SA"/>
      </w:rPr>
    </w:lvl>
    <w:lvl w:ilvl="5">
      <w:start w:val="0"/>
      <w:numFmt w:val="bullet"/>
      <w:lvlText w:val="•"/>
      <w:lvlJc w:val="left"/>
      <w:pPr>
        <w:ind w:left="4890" w:hanging="335"/>
      </w:pPr>
      <w:rPr>
        <w:rFonts w:hint="default"/>
        <w:lang w:val="tr-TR" w:eastAsia="en-US" w:bidi="ar-SA"/>
      </w:rPr>
    </w:lvl>
    <w:lvl w:ilvl="6">
      <w:start w:val="0"/>
      <w:numFmt w:val="bullet"/>
      <w:lvlText w:val="•"/>
      <w:lvlJc w:val="left"/>
      <w:pPr>
        <w:ind w:left="5868" w:hanging="335"/>
      </w:pPr>
      <w:rPr>
        <w:rFonts w:hint="default"/>
        <w:lang w:val="tr-TR" w:eastAsia="en-US" w:bidi="ar-SA"/>
      </w:rPr>
    </w:lvl>
    <w:lvl w:ilvl="7">
      <w:start w:val="0"/>
      <w:numFmt w:val="bullet"/>
      <w:lvlText w:val="•"/>
      <w:lvlJc w:val="left"/>
      <w:pPr>
        <w:ind w:left="6846" w:hanging="335"/>
      </w:pPr>
      <w:rPr>
        <w:rFonts w:hint="default"/>
        <w:lang w:val="tr-TR" w:eastAsia="en-US" w:bidi="ar-SA"/>
      </w:rPr>
    </w:lvl>
    <w:lvl w:ilvl="8">
      <w:start w:val="0"/>
      <w:numFmt w:val="bullet"/>
      <w:lvlText w:val="•"/>
      <w:lvlJc w:val="left"/>
      <w:pPr>
        <w:ind w:left="7824" w:hanging="335"/>
      </w:pPr>
      <w:rPr>
        <w:rFonts w:hint="default"/>
        <w:lang w:val="tr-T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7"/>
      <w:outlineLvl w:val="1"/>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spacing w:before="4"/>
      <w:ind w:left="7" w:firstLine="840"/>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2025-05-16T13:05:24Z</dcterms:created>
  <dcterms:modified xsi:type="dcterms:W3CDTF">2025-05-16T13:05:24Z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LastSaved">
    <vt:filetime>2025-05-16T00:00:00Z</vt:filetime>
  </property>
  <property fmtid="{D5CDD505-2E9C-101B-9397-08002B2CF9AE}" pid="4" name="Producer">
    <vt:lpwstr>iText 2.1.7 by 1T3XT</vt:lpwstr>
  </property>
</Properties>
</file>